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69" w:rsidRDefault="00CC0F69">
      <w:pPr>
        <w:pStyle w:val="ConsPlusTitlePage"/>
      </w:pPr>
      <w:r>
        <w:t xml:space="preserve">Документ предоставлен </w:t>
      </w:r>
      <w:hyperlink r:id="rId4" w:history="1">
        <w:r>
          <w:rPr>
            <w:color w:val="0000FF"/>
          </w:rPr>
          <w:t>КонсультантПлюс</w:t>
        </w:r>
      </w:hyperlink>
      <w:r>
        <w:br/>
      </w:r>
    </w:p>
    <w:p w:rsidR="00CC0F69" w:rsidRDefault="00CC0F69">
      <w:pPr>
        <w:pStyle w:val="ConsPlusNormal"/>
        <w:outlineLvl w:val="0"/>
      </w:pPr>
    </w:p>
    <w:p w:rsidR="00CC0F69" w:rsidRDefault="00CC0F69">
      <w:pPr>
        <w:pStyle w:val="ConsPlusTitle"/>
        <w:jc w:val="center"/>
        <w:outlineLvl w:val="0"/>
      </w:pPr>
      <w:r>
        <w:t>РЕГИОНАЛЬНАЯ ЭНЕРГЕТИЧЕСКАЯ КОМИССИЯ СВЕРДЛОВСКОЙ ОБЛАСТИ</w:t>
      </w:r>
    </w:p>
    <w:p w:rsidR="00CC0F69" w:rsidRDefault="00CC0F69">
      <w:pPr>
        <w:pStyle w:val="ConsPlusTitle"/>
        <w:jc w:val="center"/>
      </w:pPr>
    </w:p>
    <w:p w:rsidR="00CC0F69" w:rsidRDefault="00CC0F69">
      <w:pPr>
        <w:pStyle w:val="ConsPlusTitle"/>
        <w:jc w:val="center"/>
      </w:pPr>
      <w:r>
        <w:t>ПОСТАНОВЛЕНИЕ</w:t>
      </w:r>
    </w:p>
    <w:p w:rsidR="00CC0F69" w:rsidRDefault="00CC0F69">
      <w:pPr>
        <w:pStyle w:val="ConsPlusTitle"/>
        <w:jc w:val="center"/>
      </w:pPr>
      <w:r>
        <w:t>от 31 июля 2019 г. N 84-ПК</w:t>
      </w:r>
    </w:p>
    <w:p w:rsidR="00CC0F69" w:rsidRDefault="00CC0F69">
      <w:pPr>
        <w:pStyle w:val="ConsPlusTitle"/>
        <w:jc w:val="center"/>
      </w:pPr>
    </w:p>
    <w:p w:rsidR="00CC0F69" w:rsidRDefault="00CC0F69">
      <w:pPr>
        <w:pStyle w:val="ConsPlusTitle"/>
        <w:jc w:val="center"/>
      </w:pPr>
      <w:r>
        <w:t>ОБ УТВЕРЖДЕНИИ НОРМАТИВОВ ПОТРЕБЛЕНИЯ КОММУНАЛЬНОЙ УСЛУГИ</w:t>
      </w:r>
    </w:p>
    <w:p w:rsidR="00CC0F69" w:rsidRDefault="00CC0F69">
      <w:pPr>
        <w:pStyle w:val="ConsPlusTitle"/>
        <w:jc w:val="center"/>
      </w:pPr>
      <w:r>
        <w:t>ПО ОТОПЛЕНИЮ НА ТЕРРИТОРИИ СВЕРДЛОВСКОЙ ОБЛАСТИ</w:t>
      </w:r>
    </w:p>
    <w:p w:rsidR="00CC0F69" w:rsidRDefault="00CC0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F69">
        <w:trPr>
          <w:jc w:val="center"/>
        </w:trPr>
        <w:tc>
          <w:tcPr>
            <w:tcW w:w="9294" w:type="dxa"/>
            <w:tcBorders>
              <w:top w:val="nil"/>
              <w:left w:val="single" w:sz="24" w:space="0" w:color="CED3F1"/>
              <w:bottom w:val="nil"/>
              <w:right w:val="single" w:sz="24" w:space="0" w:color="F4F3F8"/>
            </w:tcBorders>
            <w:shd w:val="clear" w:color="auto" w:fill="F4F3F8"/>
          </w:tcPr>
          <w:p w:rsidR="00CC0F69" w:rsidRDefault="00CC0F69">
            <w:pPr>
              <w:pStyle w:val="ConsPlusNormal"/>
              <w:jc w:val="center"/>
            </w:pPr>
            <w:r>
              <w:rPr>
                <w:color w:val="392C69"/>
              </w:rPr>
              <w:t>Список изменяющих документов</w:t>
            </w:r>
          </w:p>
          <w:p w:rsidR="00CC0F69" w:rsidRDefault="00CC0F69">
            <w:pPr>
              <w:pStyle w:val="ConsPlusNormal"/>
              <w:jc w:val="center"/>
            </w:pPr>
            <w:r>
              <w:rPr>
                <w:color w:val="392C69"/>
              </w:rPr>
              <w:t xml:space="preserve">(в ред. Постановлений РЭК Свердловской области от 20.11.2019 </w:t>
            </w:r>
            <w:hyperlink r:id="rId5" w:history="1">
              <w:r>
                <w:rPr>
                  <w:color w:val="0000FF"/>
                </w:rPr>
                <w:t>N 135-ПК</w:t>
              </w:r>
            </w:hyperlink>
            <w:r>
              <w:rPr>
                <w:color w:val="392C69"/>
              </w:rPr>
              <w:t>,</w:t>
            </w:r>
          </w:p>
          <w:p w:rsidR="00CC0F69" w:rsidRDefault="00CC0F69">
            <w:pPr>
              <w:pStyle w:val="ConsPlusNormal"/>
              <w:jc w:val="center"/>
            </w:pPr>
            <w:r>
              <w:rPr>
                <w:color w:val="392C69"/>
              </w:rPr>
              <w:t xml:space="preserve">от 30.12.2019 </w:t>
            </w:r>
            <w:hyperlink r:id="rId6" w:history="1">
              <w:r>
                <w:rPr>
                  <w:color w:val="0000FF"/>
                </w:rPr>
                <w:t>N 282-ПК</w:t>
              </w:r>
            </w:hyperlink>
            <w:r>
              <w:rPr>
                <w:color w:val="392C69"/>
              </w:rPr>
              <w:t>)</w:t>
            </w:r>
          </w:p>
        </w:tc>
      </w:tr>
    </w:tbl>
    <w:p w:rsidR="00CC0F69" w:rsidRDefault="00CC0F69">
      <w:pPr>
        <w:pStyle w:val="ConsPlusNormal"/>
      </w:pPr>
    </w:p>
    <w:p w:rsidR="00CC0F69" w:rsidRDefault="00CC0F69">
      <w:pPr>
        <w:pStyle w:val="ConsPlusNormal"/>
        <w:ind w:firstLine="540"/>
        <w:jc w:val="both"/>
      </w:pPr>
      <w:r>
        <w:t xml:space="preserve">В соответствии с Жилищным </w:t>
      </w:r>
      <w:hyperlink r:id="rId7" w:history="1">
        <w:r>
          <w:rPr>
            <w:color w:val="0000FF"/>
          </w:rPr>
          <w:t>кодексом</w:t>
        </w:r>
      </w:hyperlink>
      <w:r>
        <w:t xml:space="preserve"> Российской Федерации, </w:t>
      </w:r>
      <w:hyperlink r:id="rId8" w:history="1">
        <w:r>
          <w:rPr>
            <w:color w:val="0000FF"/>
          </w:rPr>
          <w:t>Постановлением</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и Указами Губернатора Свердловской области от 13.11.2010 </w:t>
      </w:r>
      <w:hyperlink r:id="rId9" w:history="1">
        <w:r>
          <w:rPr>
            <w:color w:val="0000FF"/>
          </w:rPr>
          <w:t>N 1067-УГ</w:t>
        </w:r>
      </w:hyperlink>
      <w:r>
        <w:t xml:space="preserve"> "Об утверждении Положения о Региональной энергетической комиссии Свердловской области" и от 10.11.2016 </w:t>
      </w:r>
      <w:hyperlink r:id="rId10" w:history="1">
        <w:r>
          <w:rPr>
            <w:color w:val="0000FF"/>
          </w:rPr>
          <w:t>N 658-УГ</w:t>
        </w:r>
      </w:hyperlink>
      <w:r>
        <w:t xml:space="preserve"> "О поэтапном переходе к установлению на территории Свердловской области единых нормативов потребления коммунальной услуги по отоплению" Региональная энергетическая комиссия Свердловской области постановляет:</w:t>
      </w:r>
    </w:p>
    <w:p w:rsidR="00CC0F69" w:rsidRDefault="00CC0F69">
      <w:pPr>
        <w:pStyle w:val="ConsPlusNormal"/>
        <w:spacing w:before="220"/>
        <w:ind w:firstLine="540"/>
        <w:jc w:val="both"/>
      </w:pPr>
      <w:r>
        <w:t xml:space="preserve">1. Утвердить </w:t>
      </w:r>
      <w:hyperlink w:anchor="P33" w:history="1">
        <w:r>
          <w:rPr>
            <w:color w:val="0000FF"/>
          </w:rPr>
          <w:t>нормативы</w:t>
        </w:r>
      </w:hyperlink>
      <w:r>
        <w:t xml:space="preserve"> потребления коммунальной услуги по отоплению на территории Свердловской области (прилагаются).</w:t>
      </w:r>
    </w:p>
    <w:p w:rsidR="00CC0F69" w:rsidRDefault="00CC0F69">
      <w:pPr>
        <w:pStyle w:val="ConsPlusNormal"/>
        <w:spacing w:before="220"/>
        <w:ind w:firstLine="540"/>
        <w:jc w:val="both"/>
      </w:pPr>
      <w:r>
        <w:t>2. Рекомендовать органам местного самоуправления муниципальных образований, расположенных на территории Свердловской области, признать утратившими силу действующие нормативные правовые акты об утверждении нормативов потребления коммунальной услуги по отоплению с даты вступления в силу настоящего Постановления.</w:t>
      </w:r>
    </w:p>
    <w:p w:rsidR="00CC0F69" w:rsidRDefault="00CC0F69">
      <w:pPr>
        <w:pStyle w:val="ConsPlusNormal"/>
        <w:spacing w:before="220"/>
        <w:ind w:firstLine="540"/>
        <w:jc w:val="both"/>
      </w:pPr>
      <w:r>
        <w:t>3. Настоящее Постановление вступает в силу с 1 января 2021 года.</w:t>
      </w:r>
    </w:p>
    <w:p w:rsidR="00CC0F69" w:rsidRDefault="00CC0F69">
      <w:pPr>
        <w:pStyle w:val="ConsPlusNormal"/>
        <w:jc w:val="both"/>
      </w:pPr>
      <w:r>
        <w:t xml:space="preserve">(в ред. </w:t>
      </w:r>
      <w:hyperlink r:id="rId11" w:history="1">
        <w:r>
          <w:rPr>
            <w:color w:val="0000FF"/>
          </w:rPr>
          <w:t>Постановления</w:t>
        </w:r>
      </w:hyperlink>
      <w:r>
        <w:t xml:space="preserve"> РЭК Свердловской области от 30.12.2019 N 282-ПК)</w:t>
      </w:r>
    </w:p>
    <w:p w:rsidR="00CC0F69" w:rsidRDefault="00CC0F69">
      <w:pPr>
        <w:pStyle w:val="ConsPlusNormal"/>
        <w:spacing w:before="220"/>
        <w:ind w:firstLine="540"/>
        <w:jc w:val="both"/>
      </w:pPr>
      <w:r>
        <w:t>4. Настоящее Постановление опубликовать в 10-дневный срок после его принятия в "Областной газете", а также на официальном сайте Региональной энергетической комиссии Свердловской области в сети Интернет (http://rek.midural.ru).</w:t>
      </w:r>
    </w:p>
    <w:p w:rsidR="00CC0F69" w:rsidRDefault="00CC0F69">
      <w:pPr>
        <w:pStyle w:val="ConsPlusNormal"/>
      </w:pPr>
    </w:p>
    <w:p w:rsidR="00CC0F69" w:rsidRDefault="00CC0F69">
      <w:pPr>
        <w:pStyle w:val="ConsPlusNormal"/>
        <w:jc w:val="right"/>
      </w:pPr>
      <w:r>
        <w:t>Председатель</w:t>
      </w:r>
    </w:p>
    <w:p w:rsidR="00CC0F69" w:rsidRDefault="00CC0F69">
      <w:pPr>
        <w:pStyle w:val="ConsPlusNormal"/>
        <w:jc w:val="right"/>
      </w:pPr>
      <w:r>
        <w:t>Региональной энергетической комиссии</w:t>
      </w:r>
    </w:p>
    <w:p w:rsidR="00CC0F69" w:rsidRDefault="00CC0F69">
      <w:pPr>
        <w:pStyle w:val="ConsPlusNormal"/>
        <w:jc w:val="right"/>
      </w:pPr>
      <w:r>
        <w:t>Свердловской области</w:t>
      </w:r>
    </w:p>
    <w:p w:rsidR="00CC0F69" w:rsidRDefault="00CC0F69">
      <w:pPr>
        <w:pStyle w:val="ConsPlusNormal"/>
        <w:jc w:val="right"/>
      </w:pPr>
      <w:r>
        <w:t>В.В.ГРИШАНОВ</w:t>
      </w:r>
    </w:p>
    <w:p w:rsidR="00CC0F69" w:rsidRDefault="00CC0F69">
      <w:pPr>
        <w:pStyle w:val="ConsPlusNormal"/>
      </w:pPr>
    </w:p>
    <w:p w:rsidR="00CC0F69" w:rsidRDefault="00CC0F69">
      <w:pPr>
        <w:pStyle w:val="ConsPlusNormal"/>
      </w:pPr>
    </w:p>
    <w:p w:rsidR="00CC0F69" w:rsidRDefault="00CC0F69">
      <w:pPr>
        <w:pStyle w:val="ConsPlusNormal"/>
      </w:pPr>
    </w:p>
    <w:p w:rsidR="00CC0F69" w:rsidRDefault="00CC0F69">
      <w:pPr>
        <w:pStyle w:val="ConsPlusNormal"/>
      </w:pPr>
    </w:p>
    <w:p w:rsidR="00CC0F69" w:rsidRDefault="00CC0F69">
      <w:pPr>
        <w:pStyle w:val="ConsPlusNormal"/>
      </w:pPr>
    </w:p>
    <w:p w:rsidR="00CC0F69" w:rsidRDefault="00CC0F69">
      <w:pPr>
        <w:pStyle w:val="ConsPlusNormal"/>
        <w:jc w:val="right"/>
        <w:outlineLvl w:val="0"/>
      </w:pPr>
      <w:r>
        <w:t>Утверждены</w:t>
      </w:r>
    </w:p>
    <w:p w:rsidR="00CC0F69" w:rsidRDefault="00CC0F69">
      <w:pPr>
        <w:pStyle w:val="ConsPlusNormal"/>
        <w:jc w:val="right"/>
      </w:pPr>
      <w:r>
        <w:t>Постановлением</w:t>
      </w:r>
    </w:p>
    <w:p w:rsidR="00CC0F69" w:rsidRDefault="00CC0F69">
      <w:pPr>
        <w:pStyle w:val="ConsPlusNormal"/>
        <w:jc w:val="right"/>
      </w:pPr>
      <w:r>
        <w:t>РЭК Свердловской области</w:t>
      </w:r>
    </w:p>
    <w:p w:rsidR="00CC0F69" w:rsidRDefault="00CC0F69">
      <w:pPr>
        <w:pStyle w:val="ConsPlusNormal"/>
        <w:jc w:val="right"/>
      </w:pPr>
      <w:r>
        <w:t>от 31 июля 2019 г. N 84-ПК</w:t>
      </w:r>
    </w:p>
    <w:p w:rsidR="00CC0F69" w:rsidRDefault="00CC0F69">
      <w:pPr>
        <w:pStyle w:val="ConsPlusNormal"/>
      </w:pPr>
    </w:p>
    <w:p w:rsidR="00CC0F69" w:rsidRDefault="00CC0F69">
      <w:pPr>
        <w:pStyle w:val="ConsPlusTitle"/>
        <w:jc w:val="center"/>
      </w:pPr>
      <w:bookmarkStart w:id="0" w:name="P33"/>
      <w:bookmarkEnd w:id="0"/>
      <w:r>
        <w:lastRenderedPageBreak/>
        <w:t>НОРМАТИВЫ</w:t>
      </w:r>
    </w:p>
    <w:p w:rsidR="00CC0F69" w:rsidRDefault="00CC0F69">
      <w:pPr>
        <w:pStyle w:val="ConsPlusTitle"/>
        <w:jc w:val="center"/>
      </w:pPr>
      <w:r>
        <w:t>ПОТРЕБЛЕНИЯ КОММУНАЛЬНОЙ УСЛУГИ</w:t>
      </w:r>
    </w:p>
    <w:p w:rsidR="00CC0F69" w:rsidRDefault="00CC0F69">
      <w:pPr>
        <w:pStyle w:val="ConsPlusTitle"/>
        <w:jc w:val="center"/>
      </w:pPr>
      <w:r>
        <w:t>ПО ОТОПЛЕНИЮ НА ТЕРРИТОРИИ СВЕРДЛОВСКОЙ ОБЛАСТИ</w:t>
      </w:r>
    </w:p>
    <w:p w:rsidR="00CC0F69" w:rsidRDefault="00CC0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F69">
        <w:trPr>
          <w:jc w:val="center"/>
        </w:trPr>
        <w:tc>
          <w:tcPr>
            <w:tcW w:w="9294" w:type="dxa"/>
            <w:tcBorders>
              <w:top w:val="nil"/>
              <w:left w:val="single" w:sz="24" w:space="0" w:color="CED3F1"/>
              <w:bottom w:val="nil"/>
              <w:right w:val="single" w:sz="24" w:space="0" w:color="F4F3F8"/>
            </w:tcBorders>
            <w:shd w:val="clear" w:color="auto" w:fill="F4F3F8"/>
          </w:tcPr>
          <w:p w:rsidR="00CC0F69" w:rsidRDefault="00CC0F69">
            <w:pPr>
              <w:pStyle w:val="ConsPlusNormal"/>
              <w:jc w:val="center"/>
            </w:pPr>
            <w:r>
              <w:rPr>
                <w:color w:val="392C69"/>
              </w:rPr>
              <w:t>Список изменяющих документов</w:t>
            </w:r>
          </w:p>
          <w:p w:rsidR="00CC0F69" w:rsidRDefault="00CC0F69">
            <w:pPr>
              <w:pStyle w:val="ConsPlusNormal"/>
              <w:jc w:val="center"/>
            </w:pPr>
            <w:r>
              <w:rPr>
                <w:color w:val="392C69"/>
              </w:rPr>
              <w:t xml:space="preserve">(в ред. </w:t>
            </w:r>
            <w:hyperlink r:id="rId12" w:history="1">
              <w:r>
                <w:rPr>
                  <w:color w:val="0000FF"/>
                </w:rPr>
                <w:t>Постановления</w:t>
              </w:r>
            </w:hyperlink>
            <w:r>
              <w:rPr>
                <w:color w:val="392C69"/>
              </w:rPr>
              <w:t xml:space="preserve"> РЭК Свердловской области от 20.11.2019 N 135-ПК)</w:t>
            </w:r>
          </w:p>
        </w:tc>
      </w:tr>
    </w:tbl>
    <w:p w:rsidR="00CC0F69" w:rsidRDefault="00CC0F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2098"/>
        <w:gridCol w:w="2721"/>
      </w:tblGrid>
      <w:tr w:rsidR="00CC0F69">
        <w:tc>
          <w:tcPr>
            <w:tcW w:w="2154" w:type="dxa"/>
            <w:vMerge w:val="restart"/>
            <w:vAlign w:val="center"/>
          </w:tcPr>
          <w:p w:rsidR="00CC0F69" w:rsidRDefault="00CC0F69">
            <w:pPr>
              <w:pStyle w:val="ConsPlusNormal"/>
              <w:jc w:val="center"/>
            </w:pPr>
            <w:r>
              <w:t>Категория многоквартирного (жилого) дома</w:t>
            </w:r>
          </w:p>
        </w:tc>
        <w:tc>
          <w:tcPr>
            <w:tcW w:w="6917" w:type="dxa"/>
            <w:gridSpan w:val="3"/>
            <w:vAlign w:val="center"/>
          </w:tcPr>
          <w:p w:rsidR="00CC0F69" w:rsidRDefault="00CC0F69">
            <w:pPr>
              <w:pStyle w:val="ConsPlusNormal"/>
              <w:jc w:val="center"/>
            </w:pPr>
            <w:r>
              <w:t>Норматив потребления (Гкал на 1 кв. метр общей площади жилого помещения в месяц)</w:t>
            </w:r>
          </w:p>
        </w:tc>
      </w:tr>
      <w:tr w:rsidR="00CC0F69">
        <w:tc>
          <w:tcPr>
            <w:tcW w:w="2154" w:type="dxa"/>
            <w:vMerge/>
          </w:tcPr>
          <w:p w:rsidR="00CC0F69" w:rsidRDefault="00CC0F69"/>
        </w:tc>
        <w:tc>
          <w:tcPr>
            <w:tcW w:w="2098" w:type="dxa"/>
            <w:vAlign w:val="center"/>
          </w:tcPr>
          <w:p w:rsidR="00CC0F69" w:rsidRDefault="00CC0F69">
            <w:pPr>
              <w:pStyle w:val="ConsPlusNormal"/>
              <w:jc w:val="center"/>
            </w:pPr>
            <w:r>
              <w:t>многоквартирные и жилые дома со стенами из камня, кирпича</w:t>
            </w:r>
          </w:p>
        </w:tc>
        <w:tc>
          <w:tcPr>
            <w:tcW w:w="2098" w:type="dxa"/>
            <w:vAlign w:val="center"/>
          </w:tcPr>
          <w:p w:rsidR="00CC0F69" w:rsidRDefault="00CC0F69">
            <w:pPr>
              <w:pStyle w:val="ConsPlusNormal"/>
              <w:jc w:val="center"/>
            </w:pPr>
            <w:r>
              <w:t>многоквартирные и жилые дома со стенами из панелей, блоков</w:t>
            </w:r>
          </w:p>
        </w:tc>
        <w:tc>
          <w:tcPr>
            <w:tcW w:w="2721" w:type="dxa"/>
            <w:vAlign w:val="center"/>
          </w:tcPr>
          <w:p w:rsidR="00CC0F69" w:rsidRDefault="00CC0F69">
            <w:pPr>
              <w:pStyle w:val="ConsPlusNormal"/>
              <w:jc w:val="center"/>
            </w:pPr>
            <w:r>
              <w:t>многоквартирные и жилые дома со стенами из дерева, смешанных и других материалов</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3</w:t>
            </w:r>
          </w:p>
        </w:tc>
        <w:tc>
          <w:tcPr>
            <w:tcW w:w="2721" w:type="dxa"/>
            <w:vAlign w:val="center"/>
          </w:tcPr>
          <w:p w:rsidR="00CC0F69" w:rsidRDefault="00CC0F69">
            <w:pPr>
              <w:pStyle w:val="ConsPlusNormal"/>
              <w:jc w:val="center"/>
            </w:pPr>
            <w:r>
              <w:t>4</w:t>
            </w:r>
          </w:p>
        </w:tc>
      </w:tr>
      <w:tr w:rsidR="00CC0F69">
        <w:tc>
          <w:tcPr>
            <w:tcW w:w="9071" w:type="dxa"/>
            <w:gridSpan w:val="4"/>
            <w:vAlign w:val="center"/>
          </w:tcPr>
          <w:p w:rsidR="00CC0F69" w:rsidRDefault="00CC0F69">
            <w:pPr>
              <w:pStyle w:val="ConsPlusNormal"/>
              <w:jc w:val="center"/>
              <w:outlineLvl w:val="1"/>
            </w:pPr>
            <w:r>
              <w:t>1 группа муниципальных образований</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до 1999 года постройки включительно</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0,0431</w:t>
            </w:r>
          </w:p>
        </w:tc>
        <w:tc>
          <w:tcPr>
            <w:tcW w:w="2098" w:type="dxa"/>
            <w:vAlign w:val="center"/>
          </w:tcPr>
          <w:p w:rsidR="00CC0F69" w:rsidRDefault="00CC0F69">
            <w:pPr>
              <w:pStyle w:val="ConsPlusNormal"/>
              <w:jc w:val="center"/>
            </w:pPr>
            <w:r>
              <w:t>0,0430</w:t>
            </w:r>
          </w:p>
        </w:tc>
        <w:tc>
          <w:tcPr>
            <w:tcW w:w="2721" w:type="dxa"/>
            <w:vAlign w:val="center"/>
          </w:tcPr>
          <w:p w:rsidR="00CC0F69" w:rsidRDefault="00CC0F69">
            <w:pPr>
              <w:pStyle w:val="ConsPlusNormal"/>
              <w:jc w:val="center"/>
            </w:pPr>
            <w:r>
              <w:t>0,0434</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 xml:space="preserve">0,0251 </w:t>
            </w:r>
            <w:hyperlink w:anchor="P594" w:history="1">
              <w:r>
                <w:rPr>
                  <w:color w:val="0000FF"/>
                </w:rPr>
                <w:t>&lt;*&gt;</w:t>
              </w:r>
            </w:hyperlink>
          </w:p>
        </w:tc>
        <w:tc>
          <w:tcPr>
            <w:tcW w:w="2098" w:type="dxa"/>
            <w:vAlign w:val="center"/>
          </w:tcPr>
          <w:p w:rsidR="00CC0F69" w:rsidRDefault="00CC0F69">
            <w:pPr>
              <w:pStyle w:val="ConsPlusNormal"/>
              <w:jc w:val="center"/>
            </w:pPr>
            <w:r>
              <w:t xml:space="preserve">0,0250 </w:t>
            </w:r>
            <w:hyperlink w:anchor="P594" w:history="1">
              <w:r>
                <w:rPr>
                  <w:color w:val="0000FF"/>
                </w:rPr>
                <w:t>&lt;*&gt;</w:t>
              </w:r>
            </w:hyperlink>
          </w:p>
        </w:tc>
        <w:tc>
          <w:tcPr>
            <w:tcW w:w="2721" w:type="dxa"/>
            <w:vAlign w:val="center"/>
          </w:tcPr>
          <w:p w:rsidR="00CC0F69" w:rsidRDefault="00CC0F69">
            <w:pPr>
              <w:pStyle w:val="ConsPlusNormal"/>
              <w:jc w:val="center"/>
            </w:pPr>
            <w:r>
              <w:t>0,0444</w:t>
            </w:r>
          </w:p>
        </w:tc>
      </w:tr>
      <w:tr w:rsidR="00CC0F69">
        <w:tc>
          <w:tcPr>
            <w:tcW w:w="2154" w:type="dxa"/>
            <w:vAlign w:val="center"/>
          </w:tcPr>
          <w:p w:rsidR="00CC0F69" w:rsidRDefault="00CC0F69">
            <w:pPr>
              <w:pStyle w:val="ConsPlusNormal"/>
              <w:jc w:val="center"/>
            </w:pPr>
            <w:r>
              <w:t>3 - 4</w:t>
            </w:r>
          </w:p>
        </w:tc>
        <w:tc>
          <w:tcPr>
            <w:tcW w:w="2098" w:type="dxa"/>
            <w:vAlign w:val="center"/>
          </w:tcPr>
          <w:p w:rsidR="00CC0F69" w:rsidRDefault="00CC0F69">
            <w:pPr>
              <w:pStyle w:val="ConsPlusNormal"/>
              <w:jc w:val="center"/>
            </w:pPr>
            <w:r>
              <w:t xml:space="preserve">0,0269 </w:t>
            </w:r>
            <w:hyperlink w:anchor="P594" w:history="1">
              <w:r>
                <w:rPr>
                  <w:color w:val="0000FF"/>
                </w:rPr>
                <w:t>&lt;*&gt;</w:t>
              </w:r>
            </w:hyperlink>
          </w:p>
        </w:tc>
        <w:tc>
          <w:tcPr>
            <w:tcW w:w="2098" w:type="dxa"/>
            <w:vAlign w:val="center"/>
          </w:tcPr>
          <w:p w:rsidR="00CC0F69" w:rsidRDefault="00CC0F69">
            <w:pPr>
              <w:pStyle w:val="ConsPlusNormal"/>
              <w:jc w:val="center"/>
            </w:pPr>
            <w:r>
              <w:t xml:space="preserve">0,0243 </w:t>
            </w:r>
            <w:hyperlink w:anchor="P594" w:history="1">
              <w:r>
                <w:rPr>
                  <w:color w:val="0000FF"/>
                </w:rPr>
                <w:t>&lt;*&gt;</w:t>
              </w:r>
            </w:hyperlink>
          </w:p>
        </w:tc>
        <w:tc>
          <w:tcPr>
            <w:tcW w:w="2721" w:type="dxa"/>
            <w:vAlign w:val="center"/>
          </w:tcPr>
          <w:p w:rsidR="00CC0F69" w:rsidRDefault="00CC0F69">
            <w:pPr>
              <w:pStyle w:val="ConsPlusNormal"/>
              <w:jc w:val="center"/>
            </w:pPr>
            <w:r>
              <w:t>0,0274</w:t>
            </w:r>
          </w:p>
        </w:tc>
      </w:tr>
      <w:tr w:rsidR="00CC0F69">
        <w:tc>
          <w:tcPr>
            <w:tcW w:w="2154" w:type="dxa"/>
            <w:vAlign w:val="center"/>
          </w:tcPr>
          <w:p w:rsidR="00CC0F69" w:rsidRDefault="00CC0F69">
            <w:pPr>
              <w:pStyle w:val="ConsPlusNormal"/>
              <w:jc w:val="center"/>
            </w:pPr>
            <w:r>
              <w:t>5 - 9</w:t>
            </w:r>
          </w:p>
        </w:tc>
        <w:tc>
          <w:tcPr>
            <w:tcW w:w="2098" w:type="dxa"/>
            <w:vAlign w:val="center"/>
          </w:tcPr>
          <w:p w:rsidR="00CC0F69" w:rsidRDefault="00CC0F69">
            <w:pPr>
              <w:pStyle w:val="ConsPlusNormal"/>
              <w:jc w:val="center"/>
            </w:pPr>
            <w:r>
              <w:t xml:space="preserve">0,0260 </w:t>
            </w:r>
            <w:hyperlink w:anchor="P594" w:history="1">
              <w:r>
                <w:rPr>
                  <w:color w:val="0000FF"/>
                </w:rPr>
                <w:t>&lt;*&gt;</w:t>
              </w:r>
            </w:hyperlink>
          </w:p>
        </w:tc>
        <w:tc>
          <w:tcPr>
            <w:tcW w:w="2098" w:type="dxa"/>
            <w:vAlign w:val="center"/>
          </w:tcPr>
          <w:p w:rsidR="00CC0F69" w:rsidRDefault="00CC0F69">
            <w:pPr>
              <w:pStyle w:val="ConsPlusNormal"/>
              <w:jc w:val="center"/>
            </w:pPr>
            <w:r>
              <w:t xml:space="preserve">0,0229 </w:t>
            </w:r>
            <w:hyperlink w:anchor="P594" w:history="1">
              <w:r>
                <w:rPr>
                  <w:color w:val="0000FF"/>
                </w:rPr>
                <w:t>&lt;*&gt;</w:t>
              </w:r>
            </w:hyperlink>
          </w:p>
        </w:tc>
        <w:tc>
          <w:tcPr>
            <w:tcW w:w="2721" w:type="dxa"/>
            <w:vAlign w:val="center"/>
          </w:tcPr>
          <w:p w:rsidR="00CC0F69" w:rsidRDefault="00CC0F69">
            <w:pPr>
              <w:pStyle w:val="ConsPlusNormal"/>
              <w:jc w:val="center"/>
            </w:pPr>
            <w:r>
              <w:t>0,0249</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0,0230</w:t>
            </w:r>
          </w:p>
        </w:tc>
        <w:tc>
          <w:tcPr>
            <w:tcW w:w="2098" w:type="dxa"/>
            <w:vAlign w:val="center"/>
          </w:tcPr>
          <w:p w:rsidR="00CC0F69" w:rsidRDefault="00CC0F69">
            <w:pPr>
              <w:pStyle w:val="ConsPlusNormal"/>
              <w:jc w:val="center"/>
            </w:pPr>
            <w:r>
              <w:t>0,0235</w:t>
            </w:r>
          </w:p>
        </w:tc>
        <w:tc>
          <w:tcPr>
            <w:tcW w:w="2721" w:type="dxa"/>
            <w:vAlign w:val="center"/>
          </w:tcPr>
          <w:p w:rsidR="00CC0F69" w:rsidRDefault="00CC0F69">
            <w:pPr>
              <w:pStyle w:val="ConsPlusNormal"/>
              <w:jc w:val="center"/>
            </w:pPr>
            <w:r>
              <w:t>0,0243</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0,0240</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w:t>
            </w:r>
          </w:p>
        </w:tc>
        <w:tc>
          <w:tcPr>
            <w:tcW w:w="2098" w:type="dxa"/>
            <w:vAlign w:val="center"/>
          </w:tcPr>
          <w:p w:rsidR="00CC0F69" w:rsidRDefault="00CC0F69">
            <w:pPr>
              <w:pStyle w:val="ConsPlusNormal"/>
              <w:jc w:val="center"/>
            </w:pPr>
            <w:r>
              <w:t>0,0239</w:t>
            </w:r>
          </w:p>
        </w:tc>
        <w:tc>
          <w:tcPr>
            <w:tcW w:w="2098" w:type="dxa"/>
            <w:vAlign w:val="center"/>
          </w:tcPr>
          <w:p w:rsidR="00CC0F69" w:rsidRDefault="00CC0F69">
            <w:pPr>
              <w:pStyle w:val="ConsPlusNormal"/>
              <w:jc w:val="center"/>
            </w:pPr>
            <w:r>
              <w:t>0,0223</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13</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14</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0,0238</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15</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16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0,0261</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после 1999 года постройки</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0,0185</w:t>
            </w:r>
          </w:p>
        </w:tc>
        <w:tc>
          <w:tcPr>
            <w:tcW w:w="2098" w:type="dxa"/>
            <w:vAlign w:val="center"/>
          </w:tcPr>
          <w:p w:rsidR="00CC0F69" w:rsidRDefault="00CC0F69">
            <w:pPr>
              <w:pStyle w:val="ConsPlusNormal"/>
              <w:jc w:val="center"/>
            </w:pPr>
            <w:r>
              <w:t>0,0200</w:t>
            </w:r>
          </w:p>
        </w:tc>
        <w:tc>
          <w:tcPr>
            <w:tcW w:w="2721" w:type="dxa"/>
            <w:vAlign w:val="center"/>
          </w:tcPr>
          <w:p w:rsidR="00CC0F69" w:rsidRDefault="00CC0F69">
            <w:pPr>
              <w:pStyle w:val="ConsPlusNormal"/>
              <w:jc w:val="center"/>
            </w:pPr>
            <w:r>
              <w:t>0,0185</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0,0158</w:t>
            </w:r>
          </w:p>
        </w:tc>
        <w:tc>
          <w:tcPr>
            <w:tcW w:w="2098" w:type="dxa"/>
            <w:vAlign w:val="center"/>
          </w:tcPr>
          <w:p w:rsidR="00CC0F69" w:rsidRDefault="00CC0F69">
            <w:pPr>
              <w:pStyle w:val="ConsPlusNormal"/>
              <w:jc w:val="center"/>
            </w:pPr>
            <w:r>
              <w:t>0,0174</w:t>
            </w:r>
          </w:p>
        </w:tc>
        <w:tc>
          <w:tcPr>
            <w:tcW w:w="2721" w:type="dxa"/>
            <w:vAlign w:val="center"/>
          </w:tcPr>
          <w:p w:rsidR="00CC0F69" w:rsidRDefault="00CC0F69">
            <w:pPr>
              <w:pStyle w:val="ConsPlusNormal"/>
              <w:jc w:val="center"/>
            </w:pPr>
            <w:r>
              <w:t>0,0159</w:t>
            </w:r>
          </w:p>
        </w:tc>
      </w:tr>
      <w:tr w:rsidR="00CC0F69">
        <w:tc>
          <w:tcPr>
            <w:tcW w:w="2154" w:type="dxa"/>
            <w:vAlign w:val="center"/>
          </w:tcPr>
          <w:p w:rsidR="00CC0F69" w:rsidRDefault="00CC0F69">
            <w:pPr>
              <w:pStyle w:val="ConsPlusNormal"/>
              <w:jc w:val="center"/>
            </w:pPr>
            <w:r>
              <w:t>3</w:t>
            </w:r>
          </w:p>
        </w:tc>
        <w:tc>
          <w:tcPr>
            <w:tcW w:w="2098" w:type="dxa"/>
            <w:vAlign w:val="center"/>
          </w:tcPr>
          <w:p w:rsidR="00CC0F69" w:rsidRDefault="00CC0F69">
            <w:pPr>
              <w:pStyle w:val="ConsPlusNormal"/>
              <w:jc w:val="center"/>
            </w:pPr>
            <w:r>
              <w:t>0,0180</w:t>
            </w:r>
          </w:p>
        </w:tc>
        <w:tc>
          <w:tcPr>
            <w:tcW w:w="2098" w:type="dxa"/>
            <w:vAlign w:val="center"/>
          </w:tcPr>
          <w:p w:rsidR="00CC0F69" w:rsidRDefault="00CC0F69">
            <w:pPr>
              <w:pStyle w:val="ConsPlusNormal"/>
              <w:jc w:val="center"/>
            </w:pPr>
            <w:r>
              <w:t>0,0175</w:t>
            </w:r>
          </w:p>
        </w:tc>
        <w:tc>
          <w:tcPr>
            <w:tcW w:w="2721" w:type="dxa"/>
            <w:vAlign w:val="center"/>
          </w:tcPr>
          <w:p w:rsidR="00CC0F69" w:rsidRDefault="00CC0F69">
            <w:pPr>
              <w:pStyle w:val="ConsPlusNormal"/>
              <w:jc w:val="center"/>
            </w:pPr>
            <w:r>
              <w:t>0,0166</w:t>
            </w:r>
          </w:p>
        </w:tc>
      </w:tr>
      <w:tr w:rsidR="00CC0F69">
        <w:tc>
          <w:tcPr>
            <w:tcW w:w="2154" w:type="dxa"/>
            <w:vAlign w:val="center"/>
          </w:tcPr>
          <w:p w:rsidR="00CC0F69" w:rsidRDefault="00CC0F69">
            <w:pPr>
              <w:pStyle w:val="ConsPlusNormal"/>
              <w:jc w:val="center"/>
            </w:pPr>
            <w:r>
              <w:t>4 - 5</w:t>
            </w:r>
          </w:p>
        </w:tc>
        <w:tc>
          <w:tcPr>
            <w:tcW w:w="2098" w:type="dxa"/>
            <w:vAlign w:val="center"/>
          </w:tcPr>
          <w:p w:rsidR="00CC0F69" w:rsidRDefault="00CC0F69">
            <w:pPr>
              <w:pStyle w:val="ConsPlusNormal"/>
              <w:jc w:val="center"/>
            </w:pPr>
            <w:r>
              <w:t>0,0149</w:t>
            </w:r>
          </w:p>
        </w:tc>
        <w:tc>
          <w:tcPr>
            <w:tcW w:w="2098" w:type="dxa"/>
            <w:vAlign w:val="center"/>
          </w:tcPr>
          <w:p w:rsidR="00CC0F69" w:rsidRDefault="00CC0F69">
            <w:pPr>
              <w:pStyle w:val="ConsPlusNormal"/>
              <w:jc w:val="center"/>
            </w:pPr>
            <w:r>
              <w:t>0,0147</w:t>
            </w:r>
          </w:p>
        </w:tc>
        <w:tc>
          <w:tcPr>
            <w:tcW w:w="2721" w:type="dxa"/>
            <w:vAlign w:val="center"/>
          </w:tcPr>
          <w:p w:rsidR="00CC0F69" w:rsidRDefault="00CC0F69">
            <w:pPr>
              <w:pStyle w:val="ConsPlusNormal"/>
              <w:jc w:val="center"/>
            </w:pPr>
            <w:r>
              <w:t>0,0141</w:t>
            </w:r>
          </w:p>
        </w:tc>
      </w:tr>
      <w:tr w:rsidR="00CC0F69">
        <w:tc>
          <w:tcPr>
            <w:tcW w:w="2154" w:type="dxa"/>
            <w:vAlign w:val="center"/>
          </w:tcPr>
          <w:p w:rsidR="00CC0F69" w:rsidRDefault="00CC0F69">
            <w:pPr>
              <w:pStyle w:val="ConsPlusNormal"/>
              <w:jc w:val="center"/>
            </w:pPr>
            <w:r>
              <w:t>6 - 7</w:t>
            </w:r>
          </w:p>
        </w:tc>
        <w:tc>
          <w:tcPr>
            <w:tcW w:w="2098" w:type="dxa"/>
            <w:vAlign w:val="center"/>
          </w:tcPr>
          <w:p w:rsidR="00CC0F69" w:rsidRDefault="00CC0F69">
            <w:pPr>
              <w:pStyle w:val="ConsPlusNormal"/>
              <w:jc w:val="center"/>
            </w:pPr>
            <w:r>
              <w:t>0,0138</w:t>
            </w:r>
          </w:p>
        </w:tc>
        <w:tc>
          <w:tcPr>
            <w:tcW w:w="2098" w:type="dxa"/>
            <w:vAlign w:val="center"/>
          </w:tcPr>
          <w:p w:rsidR="00CC0F69" w:rsidRDefault="00CC0F69">
            <w:pPr>
              <w:pStyle w:val="ConsPlusNormal"/>
              <w:jc w:val="center"/>
            </w:pPr>
            <w:r>
              <w:t>0,0136</w:t>
            </w:r>
          </w:p>
        </w:tc>
        <w:tc>
          <w:tcPr>
            <w:tcW w:w="2721" w:type="dxa"/>
            <w:vAlign w:val="center"/>
          </w:tcPr>
          <w:p w:rsidR="00CC0F69" w:rsidRDefault="00CC0F69">
            <w:pPr>
              <w:pStyle w:val="ConsPlusNormal"/>
              <w:jc w:val="center"/>
            </w:pPr>
            <w:r>
              <w:t>0,0144</w:t>
            </w:r>
          </w:p>
        </w:tc>
      </w:tr>
      <w:tr w:rsidR="00CC0F69">
        <w:tc>
          <w:tcPr>
            <w:tcW w:w="2154" w:type="dxa"/>
            <w:vAlign w:val="center"/>
          </w:tcPr>
          <w:p w:rsidR="00CC0F69" w:rsidRDefault="00CC0F69">
            <w:pPr>
              <w:pStyle w:val="ConsPlusNormal"/>
              <w:jc w:val="center"/>
            </w:pPr>
            <w:r>
              <w:lastRenderedPageBreak/>
              <w:t>8</w:t>
            </w:r>
          </w:p>
        </w:tc>
        <w:tc>
          <w:tcPr>
            <w:tcW w:w="2098" w:type="dxa"/>
            <w:vAlign w:val="center"/>
          </w:tcPr>
          <w:p w:rsidR="00CC0F69" w:rsidRDefault="00CC0F69">
            <w:pPr>
              <w:pStyle w:val="ConsPlusNormal"/>
              <w:jc w:val="center"/>
            </w:pPr>
            <w:r>
              <w:t>0,0136</w:t>
            </w:r>
          </w:p>
        </w:tc>
        <w:tc>
          <w:tcPr>
            <w:tcW w:w="2098" w:type="dxa"/>
            <w:vAlign w:val="center"/>
          </w:tcPr>
          <w:p w:rsidR="00CC0F69" w:rsidRDefault="00CC0F69">
            <w:pPr>
              <w:pStyle w:val="ConsPlusNormal"/>
              <w:jc w:val="center"/>
            </w:pPr>
            <w:r>
              <w:t>0,0120</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9</w:t>
            </w:r>
          </w:p>
        </w:tc>
        <w:tc>
          <w:tcPr>
            <w:tcW w:w="2098" w:type="dxa"/>
            <w:vAlign w:val="center"/>
          </w:tcPr>
          <w:p w:rsidR="00CC0F69" w:rsidRDefault="00CC0F69">
            <w:pPr>
              <w:pStyle w:val="ConsPlusNormal"/>
              <w:jc w:val="center"/>
            </w:pPr>
            <w:r>
              <w:t>0,0138</w:t>
            </w:r>
          </w:p>
        </w:tc>
        <w:tc>
          <w:tcPr>
            <w:tcW w:w="2098" w:type="dxa"/>
            <w:vAlign w:val="center"/>
          </w:tcPr>
          <w:p w:rsidR="00CC0F69" w:rsidRDefault="00CC0F69">
            <w:pPr>
              <w:pStyle w:val="ConsPlusNormal"/>
              <w:jc w:val="center"/>
            </w:pPr>
            <w:r>
              <w:t>0,0135</w:t>
            </w:r>
          </w:p>
        </w:tc>
        <w:tc>
          <w:tcPr>
            <w:tcW w:w="2721" w:type="dxa"/>
            <w:vAlign w:val="center"/>
          </w:tcPr>
          <w:p w:rsidR="00CC0F69" w:rsidRDefault="00CC0F69">
            <w:pPr>
              <w:pStyle w:val="ConsPlusNormal"/>
              <w:jc w:val="center"/>
            </w:pPr>
            <w:r>
              <w:t>0,0135</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0,0135</w:t>
            </w:r>
          </w:p>
        </w:tc>
        <w:tc>
          <w:tcPr>
            <w:tcW w:w="2098" w:type="dxa"/>
            <w:vAlign w:val="center"/>
          </w:tcPr>
          <w:p w:rsidR="00CC0F69" w:rsidRDefault="00CC0F69">
            <w:pPr>
              <w:pStyle w:val="ConsPlusNormal"/>
              <w:jc w:val="center"/>
            </w:pPr>
            <w:r>
              <w:t>0,0143</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 и более</w:t>
            </w:r>
          </w:p>
        </w:tc>
        <w:tc>
          <w:tcPr>
            <w:tcW w:w="2098" w:type="dxa"/>
            <w:vAlign w:val="center"/>
          </w:tcPr>
          <w:p w:rsidR="00CC0F69" w:rsidRDefault="00CC0F69">
            <w:pPr>
              <w:pStyle w:val="ConsPlusNormal"/>
              <w:jc w:val="center"/>
            </w:pPr>
            <w:r>
              <w:t>0,0131</w:t>
            </w:r>
          </w:p>
        </w:tc>
        <w:tc>
          <w:tcPr>
            <w:tcW w:w="2098" w:type="dxa"/>
            <w:vAlign w:val="center"/>
          </w:tcPr>
          <w:p w:rsidR="00CC0F69" w:rsidRDefault="00CC0F69">
            <w:pPr>
              <w:pStyle w:val="ConsPlusNormal"/>
              <w:jc w:val="center"/>
            </w:pPr>
            <w:r>
              <w:t>0,0121</w:t>
            </w:r>
          </w:p>
        </w:tc>
        <w:tc>
          <w:tcPr>
            <w:tcW w:w="2721" w:type="dxa"/>
            <w:vAlign w:val="center"/>
          </w:tcPr>
          <w:p w:rsidR="00CC0F69" w:rsidRDefault="00CC0F69">
            <w:pPr>
              <w:pStyle w:val="ConsPlusNormal"/>
              <w:jc w:val="center"/>
            </w:pPr>
            <w:r>
              <w:t>0,0134</w:t>
            </w:r>
          </w:p>
        </w:tc>
      </w:tr>
      <w:tr w:rsidR="00CC0F69">
        <w:tblPrEx>
          <w:tblBorders>
            <w:insideH w:val="nil"/>
          </w:tblBorders>
        </w:tblPrEx>
        <w:tc>
          <w:tcPr>
            <w:tcW w:w="9071" w:type="dxa"/>
            <w:gridSpan w:val="4"/>
            <w:tcBorders>
              <w:bottom w:val="nil"/>
            </w:tcBorders>
            <w:vAlign w:val="center"/>
          </w:tcPr>
          <w:p w:rsidR="00CC0F69" w:rsidRDefault="00CC0F69">
            <w:pPr>
              <w:pStyle w:val="ConsPlusNormal"/>
              <w:jc w:val="center"/>
              <w:outlineLvl w:val="1"/>
            </w:pPr>
            <w:r>
              <w:t>2 группа муниципальных образований</w:t>
            </w:r>
          </w:p>
        </w:tc>
      </w:tr>
      <w:tr w:rsidR="00CC0F69">
        <w:tblPrEx>
          <w:tblBorders>
            <w:insideH w:val="nil"/>
          </w:tblBorders>
        </w:tblPrEx>
        <w:tc>
          <w:tcPr>
            <w:tcW w:w="9071" w:type="dxa"/>
            <w:gridSpan w:val="4"/>
            <w:tcBorders>
              <w:top w:val="nil"/>
            </w:tcBorders>
          </w:tcPr>
          <w:p w:rsidR="00CC0F69" w:rsidRDefault="00CC0F69">
            <w:pPr>
              <w:pStyle w:val="ConsPlusNormal"/>
              <w:jc w:val="center"/>
            </w:pPr>
            <w:r>
              <w:t xml:space="preserve">(в ред. </w:t>
            </w:r>
            <w:hyperlink r:id="rId13" w:history="1">
              <w:r>
                <w:rPr>
                  <w:color w:val="0000FF"/>
                </w:rPr>
                <w:t>Постановления</w:t>
              </w:r>
            </w:hyperlink>
            <w:r>
              <w:t xml:space="preserve"> РЭК Свердловской области от 20.11.2019 N 135-ПК)</w:t>
            </w:r>
          </w:p>
        </w:tc>
      </w:tr>
      <w:tr w:rsidR="00CC0F69">
        <w:tc>
          <w:tcPr>
            <w:tcW w:w="2154" w:type="dxa"/>
          </w:tcPr>
          <w:p w:rsidR="00CC0F69" w:rsidRDefault="00CC0F69">
            <w:pPr>
              <w:pStyle w:val="ConsPlusNormal"/>
              <w:jc w:val="center"/>
            </w:pPr>
            <w:r>
              <w:t>Этажность</w:t>
            </w:r>
          </w:p>
        </w:tc>
        <w:tc>
          <w:tcPr>
            <w:tcW w:w="6917" w:type="dxa"/>
            <w:gridSpan w:val="3"/>
          </w:tcPr>
          <w:p w:rsidR="00CC0F69" w:rsidRDefault="00CC0F69">
            <w:pPr>
              <w:pStyle w:val="ConsPlusNormal"/>
              <w:jc w:val="center"/>
            </w:pPr>
            <w:r>
              <w:t>Многоквартирные и жилые дома до 1999 года постройки включительно</w:t>
            </w:r>
          </w:p>
        </w:tc>
      </w:tr>
      <w:tr w:rsidR="00CC0F69">
        <w:tc>
          <w:tcPr>
            <w:tcW w:w="2154" w:type="dxa"/>
          </w:tcPr>
          <w:p w:rsidR="00CC0F69" w:rsidRDefault="00CC0F69">
            <w:pPr>
              <w:pStyle w:val="ConsPlusNormal"/>
              <w:jc w:val="center"/>
            </w:pPr>
            <w:r>
              <w:t>1</w:t>
            </w:r>
          </w:p>
        </w:tc>
        <w:tc>
          <w:tcPr>
            <w:tcW w:w="2098" w:type="dxa"/>
          </w:tcPr>
          <w:p w:rsidR="00CC0F69" w:rsidRDefault="00CC0F69">
            <w:pPr>
              <w:pStyle w:val="ConsPlusNormal"/>
              <w:jc w:val="center"/>
            </w:pPr>
            <w:r>
              <w:t>0,0442</w:t>
            </w:r>
          </w:p>
        </w:tc>
        <w:tc>
          <w:tcPr>
            <w:tcW w:w="2098" w:type="dxa"/>
          </w:tcPr>
          <w:p w:rsidR="00CC0F69" w:rsidRDefault="00CC0F69">
            <w:pPr>
              <w:pStyle w:val="ConsPlusNormal"/>
              <w:jc w:val="center"/>
            </w:pPr>
            <w:r>
              <w:t>0,0444</w:t>
            </w:r>
          </w:p>
        </w:tc>
        <w:tc>
          <w:tcPr>
            <w:tcW w:w="2721" w:type="dxa"/>
          </w:tcPr>
          <w:p w:rsidR="00CC0F69" w:rsidRDefault="00CC0F69">
            <w:pPr>
              <w:pStyle w:val="ConsPlusNormal"/>
              <w:jc w:val="center"/>
            </w:pPr>
            <w:r>
              <w:t>0,0435</w:t>
            </w:r>
          </w:p>
        </w:tc>
      </w:tr>
      <w:tr w:rsidR="00CC0F69">
        <w:tc>
          <w:tcPr>
            <w:tcW w:w="2154" w:type="dxa"/>
          </w:tcPr>
          <w:p w:rsidR="00CC0F69" w:rsidRDefault="00CC0F69">
            <w:pPr>
              <w:pStyle w:val="ConsPlusNormal"/>
              <w:jc w:val="center"/>
            </w:pPr>
            <w:r>
              <w:t>2</w:t>
            </w:r>
          </w:p>
        </w:tc>
        <w:tc>
          <w:tcPr>
            <w:tcW w:w="2098" w:type="dxa"/>
          </w:tcPr>
          <w:p w:rsidR="00CC0F69" w:rsidRDefault="00CC0F69">
            <w:pPr>
              <w:pStyle w:val="ConsPlusNormal"/>
              <w:jc w:val="center"/>
            </w:pPr>
            <w:r>
              <w:t xml:space="preserve">0,0251 </w:t>
            </w:r>
            <w:hyperlink w:anchor="P594" w:history="1">
              <w:r>
                <w:rPr>
                  <w:color w:val="0000FF"/>
                </w:rPr>
                <w:t>&lt;*&gt;</w:t>
              </w:r>
            </w:hyperlink>
          </w:p>
        </w:tc>
        <w:tc>
          <w:tcPr>
            <w:tcW w:w="2098" w:type="dxa"/>
          </w:tcPr>
          <w:p w:rsidR="00CC0F69" w:rsidRDefault="00CC0F69">
            <w:pPr>
              <w:pStyle w:val="ConsPlusNormal"/>
              <w:jc w:val="center"/>
            </w:pPr>
            <w:r>
              <w:t xml:space="preserve">0,0249 </w:t>
            </w:r>
            <w:hyperlink w:anchor="P594" w:history="1">
              <w:r>
                <w:rPr>
                  <w:color w:val="0000FF"/>
                </w:rPr>
                <w:t>&lt;*&gt;</w:t>
              </w:r>
            </w:hyperlink>
          </w:p>
        </w:tc>
        <w:tc>
          <w:tcPr>
            <w:tcW w:w="2721" w:type="dxa"/>
          </w:tcPr>
          <w:p w:rsidR="00CC0F69" w:rsidRDefault="00CC0F69">
            <w:pPr>
              <w:pStyle w:val="ConsPlusNormal"/>
              <w:jc w:val="center"/>
            </w:pPr>
            <w:r>
              <w:t>0,0434</w:t>
            </w:r>
          </w:p>
        </w:tc>
      </w:tr>
      <w:tr w:rsidR="00CC0F69">
        <w:tc>
          <w:tcPr>
            <w:tcW w:w="2154" w:type="dxa"/>
          </w:tcPr>
          <w:p w:rsidR="00CC0F69" w:rsidRDefault="00CC0F69">
            <w:pPr>
              <w:pStyle w:val="ConsPlusNormal"/>
              <w:jc w:val="center"/>
            </w:pPr>
            <w:r>
              <w:t>3 - 4</w:t>
            </w:r>
          </w:p>
        </w:tc>
        <w:tc>
          <w:tcPr>
            <w:tcW w:w="2098" w:type="dxa"/>
          </w:tcPr>
          <w:p w:rsidR="00CC0F69" w:rsidRDefault="00CC0F69">
            <w:pPr>
              <w:pStyle w:val="ConsPlusNormal"/>
              <w:jc w:val="center"/>
            </w:pPr>
            <w:r>
              <w:t xml:space="preserve">0,0249 </w:t>
            </w:r>
            <w:hyperlink w:anchor="P594" w:history="1">
              <w:r>
                <w:rPr>
                  <w:color w:val="0000FF"/>
                </w:rPr>
                <w:t>&lt;*&gt;</w:t>
              </w:r>
            </w:hyperlink>
          </w:p>
        </w:tc>
        <w:tc>
          <w:tcPr>
            <w:tcW w:w="2098" w:type="dxa"/>
          </w:tcPr>
          <w:p w:rsidR="00CC0F69" w:rsidRDefault="00CC0F69">
            <w:pPr>
              <w:pStyle w:val="ConsPlusNormal"/>
              <w:jc w:val="center"/>
            </w:pPr>
            <w:r>
              <w:t xml:space="preserve">0,0242 </w:t>
            </w:r>
            <w:hyperlink w:anchor="P594" w:history="1">
              <w:r>
                <w:rPr>
                  <w:color w:val="0000FF"/>
                </w:rPr>
                <w:t>&lt;*&gt;</w:t>
              </w:r>
            </w:hyperlink>
          </w:p>
        </w:tc>
        <w:tc>
          <w:tcPr>
            <w:tcW w:w="2721" w:type="dxa"/>
          </w:tcPr>
          <w:p w:rsidR="00CC0F69" w:rsidRDefault="00CC0F69">
            <w:pPr>
              <w:pStyle w:val="ConsPlusNormal"/>
              <w:jc w:val="center"/>
            </w:pPr>
            <w:r>
              <w:t>0,0271</w:t>
            </w:r>
          </w:p>
        </w:tc>
      </w:tr>
      <w:tr w:rsidR="00CC0F69">
        <w:tc>
          <w:tcPr>
            <w:tcW w:w="2154" w:type="dxa"/>
          </w:tcPr>
          <w:p w:rsidR="00CC0F69" w:rsidRDefault="00CC0F69">
            <w:pPr>
              <w:pStyle w:val="ConsPlusNormal"/>
              <w:jc w:val="center"/>
            </w:pPr>
            <w:r>
              <w:t>5 - 9</w:t>
            </w:r>
          </w:p>
        </w:tc>
        <w:tc>
          <w:tcPr>
            <w:tcW w:w="2098" w:type="dxa"/>
          </w:tcPr>
          <w:p w:rsidR="00CC0F69" w:rsidRDefault="00CC0F69">
            <w:pPr>
              <w:pStyle w:val="ConsPlusNormal"/>
              <w:jc w:val="center"/>
            </w:pPr>
            <w:r>
              <w:t xml:space="preserve">0,0235 </w:t>
            </w:r>
            <w:hyperlink w:anchor="P594" w:history="1">
              <w:r>
                <w:rPr>
                  <w:color w:val="0000FF"/>
                </w:rPr>
                <w:t>&lt;*&gt;</w:t>
              </w:r>
            </w:hyperlink>
          </w:p>
        </w:tc>
        <w:tc>
          <w:tcPr>
            <w:tcW w:w="2098" w:type="dxa"/>
          </w:tcPr>
          <w:p w:rsidR="00CC0F69" w:rsidRDefault="00CC0F69">
            <w:pPr>
              <w:pStyle w:val="ConsPlusNormal"/>
              <w:jc w:val="center"/>
            </w:pPr>
            <w:r>
              <w:t xml:space="preserve">0,0223 </w:t>
            </w:r>
            <w:hyperlink w:anchor="P594" w:history="1">
              <w:r>
                <w:rPr>
                  <w:color w:val="0000FF"/>
                </w:rPr>
                <w:t>&lt;*&gt;</w:t>
              </w:r>
            </w:hyperlink>
          </w:p>
        </w:tc>
        <w:tc>
          <w:tcPr>
            <w:tcW w:w="2721" w:type="dxa"/>
          </w:tcPr>
          <w:p w:rsidR="00CC0F69" w:rsidRDefault="00CC0F69">
            <w:pPr>
              <w:pStyle w:val="ConsPlusNormal"/>
              <w:jc w:val="center"/>
            </w:pPr>
            <w:r>
              <w:t>0,0235</w:t>
            </w:r>
          </w:p>
        </w:tc>
      </w:tr>
      <w:tr w:rsidR="00CC0F69">
        <w:tc>
          <w:tcPr>
            <w:tcW w:w="2154" w:type="dxa"/>
          </w:tcPr>
          <w:p w:rsidR="00CC0F69" w:rsidRDefault="00CC0F69">
            <w:pPr>
              <w:pStyle w:val="ConsPlusNormal"/>
              <w:jc w:val="center"/>
            </w:pPr>
            <w:r>
              <w:t>10</w:t>
            </w:r>
          </w:p>
        </w:tc>
        <w:tc>
          <w:tcPr>
            <w:tcW w:w="2098" w:type="dxa"/>
          </w:tcPr>
          <w:p w:rsidR="00CC0F69" w:rsidRDefault="00CC0F69">
            <w:pPr>
              <w:pStyle w:val="ConsPlusNormal"/>
              <w:jc w:val="center"/>
            </w:pPr>
            <w:r>
              <w:t>0,0226</w:t>
            </w:r>
          </w:p>
        </w:tc>
        <w:tc>
          <w:tcPr>
            <w:tcW w:w="2098" w:type="dxa"/>
          </w:tcPr>
          <w:p w:rsidR="00CC0F69" w:rsidRDefault="00CC0F69">
            <w:pPr>
              <w:pStyle w:val="ConsPlusNormal"/>
              <w:jc w:val="center"/>
            </w:pPr>
            <w:r>
              <w:t>0,0233</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11</w:t>
            </w:r>
          </w:p>
        </w:tc>
        <w:tc>
          <w:tcPr>
            <w:tcW w:w="2098" w:type="dxa"/>
          </w:tcPr>
          <w:p w:rsidR="00CC0F69" w:rsidRDefault="00CC0F69">
            <w:pPr>
              <w:pStyle w:val="ConsPlusNormal"/>
              <w:jc w:val="center"/>
            </w:pPr>
            <w:r>
              <w:t>0,0220</w:t>
            </w:r>
          </w:p>
        </w:tc>
        <w:tc>
          <w:tcPr>
            <w:tcW w:w="2098" w:type="dxa"/>
          </w:tcPr>
          <w:p w:rsidR="00CC0F69" w:rsidRDefault="00CC0F69">
            <w:pPr>
              <w:pStyle w:val="ConsPlusNormal"/>
              <w:jc w:val="center"/>
            </w:pPr>
            <w:r>
              <w:t>0,0224</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12</w:t>
            </w:r>
          </w:p>
        </w:tc>
        <w:tc>
          <w:tcPr>
            <w:tcW w:w="2098" w:type="dxa"/>
          </w:tcPr>
          <w:p w:rsidR="00CC0F69" w:rsidRDefault="00CC0F69">
            <w:pPr>
              <w:pStyle w:val="ConsPlusNormal"/>
              <w:jc w:val="center"/>
            </w:pPr>
            <w:r>
              <w:t>0,0223</w:t>
            </w:r>
          </w:p>
        </w:tc>
        <w:tc>
          <w:tcPr>
            <w:tcW w:w="2098" w:type="dxa"/>
          </w:tcPr>
          <w:p w:rsidR="00CC0F69" w:rsidRDefault="00CC0F69">
            <w:pPr>
              <w:pStyle w:val="ConsPlusNormal"/>
              <w:jc w:val="center"/>
            </w:pPr>
            <w:r>
              <w:t>0,0244</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13</w:t>
            </w:r>
          </w:p>
        </w:tc>
        <w:tc>
          <w:tcPr>
            <w:tcW w:w="2098" w:type="dxa"/>
          </w:tcPr>
          <w:p w:rsidR="00CC0F69" w:rsidRDefault="00CC0F69">
            <w:pPr>
              <w:pStyle w:val="ConsPlusNormal"/>
              <w:jc w:val="center"/>
            </w:pPr>
            <w:r>
              <w:t>0,0240</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14</w:t>
            </w:r>
          </w:p>
        </w:tc>
        <w:tc>
          <w:tcPr>
            <w:tcW w:w="2098" w:type="dxa"/>
          </w:tcPr>
          <w:p w:rsidR="00CC0F69" w:rsidRDefault="00CC0F69">
            <w:pPr>
              <w:pStyle w:val="ConsPlusNormal"/>
              <w:jc w:val="center"/>
            </w:pPr>
            <w:r>
              <w:t>0,0261</w:t>
            </w:r>
          </w:p>
        </w:tc>
        <w:tc>
          <w:tcPr>
            <w:tcW w:w="2098" w:type="dxa"/>
          </w:tcPr>
          <w:p w:rsidR="00CC0F69" w:rsidRDefault="00CC0F69">
            <w:pPr>
              <w:pStyle w:val="ConsPlusNormal"/>
              <w:jc w:val="center"/>
            </w:pPr>
            <w:r>
              <w:t xml:space="preserve">0,0285 </w:t>
            </w:r>
            <w:hyperlink w:anchor="P594" w:history="1">
              <w:r>
                <w:rPr>
                  <w:color w:val="0000FF"/>
                </w:rPr>
                <w:t>&lt;*&gt;</w:t>
              </w:r>
            </w:hyperlink>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15</w:t>
            </w:r>
          </w:p>
        </w:tc>
        <w:tc>
          <w:tcPr>
            <w:tcW w:w="2098" w:type="dxa"/>
          </w:tcPr>
          <w:p w:rsidR="00CC0F69" w:rsidRDefault="00CC0F69">
            <w:pPr>
              <w:pStyle w:val="ConsPlusNormal"/>
              <w:jc w:val="center"/>
            </w:pPr>
            <w:r>
              <w:t>0,0254</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16 и более</w:t>
            </w:r>
          </w:p>
        </w:tc>
        <w:tc>
          <w:tcPr>
            <w:tcW w:w="2098" w:type="dxa"/>
          </w:tcPr>
          <w:p w:rsidR="00CC0F69" w:rsidRDefault="00CC0F69">
            <w:pPr>
              <w:pStyle w:val="ConsPlusNormal"/>
              <w:jc w:val="center"/>
            </w:pPr>
            <w:r>
              <w:t>0,0264</w:t>
            </w:r>
          </w:p>
        </w:tc>
        <w:tc>
          <w:tcPr>
            <w:tcW w:w="2098" w:type="dxa"/>
          </w:tcPr>
          <w:p w:rsidR="00CC0F69" w:rsidRDefault="00CC0F69">
            <w:pPr>
              <w:pStyle w:val="ConsPlusNormal"/>
              <w:jc w:val="center"/>
            </w:pPr>
            <w:r>
              <w:t>0,0259</w:t>
            </w:r>
          </w:p>
        </w:tc>
        <w:tc>
          <w:tcPr>
            <w:tcW w:w="2721" w:type="dxa"/>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после 1999 года постройки</w:t>
            </w:r>
          </w:p>
        </w:tc>
      </w:tr>
      <w:tr w:rsidR="00CC0F69">
        <w:tc>
          <w:tcPr>
            <w:tcW w:w="2154" w:type="dxa"/>
          </w:tcPr>
          <w:p w:rsidR="00CC0F69" w:rsidRDefault="00CC0F69">
            <w:pPr>
              <w:pStyle w:val="ConsPlusNormal"/>
              <w:jc w:val="center"/>
            </w:pPr>
            <w:r>
              <w:t>1</w:t>
            </w:r>
          </w:p>
        </w:tc>
        <w:tc>
          <w:tcPr>
            <w:tcW w:w="2098" w:type="dxa"/>
          </w:tcPr>
          <w:p w:rsidR="00CC0F69" w:rsidRDefault="00CC0F69">
            <w:pPr>
              <w:pStyle w:val="ConsPlusNormal"/>
              <w:jc w:val="center"/>
            </w:pPr>
            <w:r>
              <w:t>0,0170</w:t>
            </w:r>
          </w:p>
        </w:tc>
        <w:tc>
          <w:tcPr>
            <w:tcW w:w="2098" w:type="dxa"/>
          </w:tcPr>
          <w:p w:rsidR="00CC0F69" w:rsidRDefault="00CC0F69">
            <w:pPr>
              <w:pStyle w:val="ConsPlusNormal"/>
              <w:jc w:val="center"/>
            </w:pPr>
            <w:r>
              <w:t>0,0172</w:t>
            </w:r>
          </w:p>
        </w:tc>
        <w:tc>
          <w:tcPr>
            <w:tcW w:w="2721" w:type="dxa"/>
          </w:tcPr>
          <w:p w:rsidR="00CC0F69" w:rsidRDefault="00CC0F69">
            <w:pPr>
              <w:pStyle w:val="ConsPlusNormal"/>
              <w:jc w:val="center"/>
            </w:pPr>
            <w:r>
              <w:t>0,0171</w:t>
            </w:r>
          </w:p>
        </w:tc>
      </w:tr>
      <w:tr w:rsidR="00CC0F69">
        <w:tc>
          <w:tcPr>
            <w:tcW w:w="2154" w:type="dxa"/>
          </w:tcPr>
          <w:p w:rsidR="00CC0F69" w:rsidRDefault="00CC0F69">
            <w:pPr>
              <w:pStyle w:val="ConsPlusNormal"/>
              <w:jc w:val="center"/>
            </w:pPr>
            <w:r>
              <w:t>2</w:t>
            </w:r>
          </w:p>
        </w:tc>
        <w:tc>
          <w:tcPr>
            <w:tcW w:w="2098" w:type="dxa"/>
          </w:tcPr>
          <w:p w:rsidR="00CC0F69" w:rsidRDefault="00CC0F69">
            <w:pPr>
              <w:pStyle w:val="ConsPlusNormal"/>
              <w:jc w:val="center"/>
            </w:pPr>
            <w:r>
              <w:t>0,0141</w:t>
            </w:r>
          </w:p>
        </w:tc>
        <w:tc>
          <w:tcPr>
            <w:tcW w:w="2098" w:type="dxa"/>
          </w:tcPr>
          <w:p w:rsidR="00CC0F69" w:rsidRDefault="00CC0F69">
            <w:pPr>
              <w:pStyle w:val="ConsPlusNormal"/>
              <w:jc w:val="center"/>
            </w:pPr>
            <w:r>
              <w:t>0,0145</w:t>
            </w:r>
          </w:p>
        </w:tc>
        <w:tc>
          <w:tcPr>
            <w:tcW w:w="2721" w:type="dxa"/>
          </w:tcPr>
          <w:p w:rsidR="00CC0F69" w:rsidRDefault="00CC0F69">
            <w:pPr>
              <w:pStyle w:val="ConsPlusNormal"/>
              <w:jc w:val="center"/>
            </w:pPr>
            <w:r>
              <w:t>0,0141</w:t>
            </w:r>
          </w:p>
        </w:tc>
      </w:tr>
      <w:tr w:rsidR="00CC0F69">
        <w:tc>
          <w:tcPr>
            <w:tcW w:w="2154" w:type="dxa"/>
          </w:tcPr>
          <w:p w:rsidR="00CC0F69" w:rsidRDefault="00CC0F69">
            <w:pPr>
              <w:pStyle w:val="ConsPlusNormal"/>
              <w:jc w:val="center"/>
            </w:pPr>
            <w:r>
              <w:t>3</w:t>
            </w:r>
          </w:p>
        </w:tc>
        <w:tc>
          <w:tcPr>
            <w:tcW w:w="2098" w:type="dxa"/>
          </w:tcPr>
          <w:p w:rsidR="00CC0F69" w:rsidRDefault="00CC0F69">
            <w:pPr>
              <w:pStyle w:val="ConsPlusNormal"/>
              <w:jc w:val="center"/>
            </w:pPr>
            <w:r>
              <w:t>0,0156</w:t>
            </w:r>
          </w:p>
        </w:tc>
        <w:tc>
          <w:tcPr>
            <w:tcW w:w="2098" w:type="dxa"/>
          </w:tcPr>
          <w:p w:rsidR="00CC0F69" w:rsidRDefault="00CC0F69">
            <w:pPr>
              <w:pStyle w:val="ConsPlusNormal"/>
              <w:jc w:val="center"/>
            </w:pPr>
            <w:r>
              <w:t>0,0160</w:t>
            </w:r>
          </w:p>
        </w:tc>
        <w:tc>
          <w:tcPr>
            <w:tcW w:w="2721" w:type="dxa"/>
          </w:tcPr>
          <w:p w:rsidR="00CC0F69" w:rsidRDefault="00CC0F69">
            <w:pPr>
              <w:pStyle w:val="ConsPlusNormal"/>
              <w:jc w:val="center"/>
            </w:pPr>
            <w:r>
              <w:t>0,0166</w:t>
            </w:r>
          </w:p>
        </w:tc>
      </w:tr>
      <w:tr w:rsidR="00CC0F69">
        <w:tc>
          <w:tcPr>
            <w:tcW w:w="2154" w:type="dxa"/>
          </w:tcPr>
          <w:p w:rsidR="00CC0F69" w:rsidRDefault="00CC0F69">
            <w:pPr>
              <w:pStyle w:val="ConsPlusNormal"/>
              <w:jc w:val="center"/>
            </w:pPr>
            <w:r>
              <w:t>4 - 5</w:t>
            </w:r>
          </w:p>
        </w:tc>
        <w:tc>
          <w:tcPr>
            <w:tcW w:w="2098" w:type="dxa"/>
          </w:tcPr>
          <w:p w:rsidR="00CC0F69" w:rsidRDefault="00CC0F69">
            <w:pPr>
              <w:pStyle w:val="ConsPlusNormal"/>
              <w:jc w:val="center"/>
            </w:pPr>
            <w:r>
              <w:t>0,0133</w:t>
            </w:r>
          </w:p>
        </w:tc>
        <w:tc>
          <w:tcPr>
            <w:tcW w:w="2098" w:type="dxa"/>
          </w:tcPr>
          <w:p w:rsidR="00CC0F69" w:rsidRDefault="00CC0F69">
            <w:pPr>
              <w:pStyle w:val="ConsPlusNormal"/>
              <w:jc w:val="center"/>
            </w:pPr>
            <w:r>
              <w:t>0,0135</w:t>
            </w:r>
          </w:p>
        </w:tc>
        <w:tc>
          <w:tcPr>
            <w:tcW w:w="2721" w:type="dxa"/>
          </w:tcPr>
          <w:p w:rsidR="00CC0F69" w:rsidRDefault="00CC0F69">
            <w:pPr>
              <w:pStyle w:val="ConsPlusNormal"/>
              <w:jc w:val="center"/>
            </w:pPr>
            <w:r>
              <w:t>0,0151</w:t>
            </w:r>
          </w:p>
        </w:tc>
      </w:tr>
      <w:tr w:rsidR="00CC0F69">
        <w:tc>
          <w:tcPr>
            <w:tcW w:w="2154" w:type="dxa"/>
          </w:tcPr>
          <w:p w:rsidR="00CC0F69" w:rsidRDefault="00CC0F69">
            <w:pPr>
              <w:pStyle w:val="ConsPlusNormal"/>
              <w:jc w:val="center"/>
            </w:pPr>
            <w:r>
              <w:t>6 - 7</w:t>
            </w:r>
          </w:p>
        </w:tc>
        <w:tc>
          <w:tcPr>
            <w:tcW w:w="2098" w:type="dxa"/>
          </w:tcPr>
          <w:p w:rsidR="00CC0F69" w:rsidRDefault="00CC0F69">
            <w:pPr>
              <w:pStyle w:val="ConsPlusNormal"/>
              <w:jc w:val="center"/>
            </w:pPr>
            <w:r>
              <w:t>0,0125</w:t>
            </w:r>
          </w:p>
        </w:tc>
        <w:tc>
          <w:tcPr>
            <w:tcW w:w="2098" w:type="dxa"/>
          </w:tcPr>
          <w:p w:rsidR="00CC0F69" w:rsidRDefault="00CC0F69">
            <w:pPr>
              <w:pStyle w:val="ConsPlusNormal"/>
              <w:jc w:val="center"/>
            </w:pPr>
            <w:r>
              <w:t>0,0119</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8</w:t>
            </w:r>
          </w:p>
        </w:tc>
        <w:tc>
          <w:tcPr>
            <w:tcW w:w="2098" w:type="dxa"/>
          </w:tcPr>
          <w:p w:rsidR="00CC0F69" w:rsidRDefault="00CC0F69">
            <w:pPr>
              <w:pStyle w:val="ConsPlusNormal"/>
              <w:jc w:val="center"/>
            </w:pPr>
            <w:r>
              <w:t>0,0120</w:t>
            </w:r>
          </w:p>
        </w:tc>
        <w:tc>
          <w:tcPr>
            <w:tcW w:w="2098" w:type="dxa"/>
          </w:tcPr>
          <w:p w:rsidR="00CC0F69" w:rsidRDefault="00CC0F69">
            <w:pPr>
              <w:pStyle w:val="ConsPlusNormal"/>
              <w:jc w:val="center"/>
            </w:pPr>
            <w:r>
              <w:t>0,0132</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9</w:t>
            </w:r>
          </w:p>
        </w:tc>
        <w:tc>
          <w:tcPr>
            <w:tcW w:w="2098" w:type="dxa"/>
          </w:tcPr>
          <w:p w:rsidR="00CC0F69" w:rsidRDefault="00CC0F69">
            <w:pPr>
              <w:pStyle w:val="ConsPlusNormal"/>
              <w:jc w:val="center"/>
            </w:pPr>
            <w:r>
              <w:t>0,0117</w:t>
            </w:r>
          </w:p>
        </w:tc>
        <w:tc>
          <w:tcPr>
            <w:tcW w:w="2098" w:type="dxa"/>
          </w:tcPr>
          <w:p w:rsidR="00CC0F69" w:rsidRDefault="00CC0F69">
            <w:pPr>
              <w:pStyle w:val="ConsPlusNormal"/>
              <w:jc w:val="center"/>
            </w:pPr>
            <w:r>
              <w:t>0,0131</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10</w:t>
            </w:r>
          </w:p>
        </w:tc>
        <w:tc>
          <w:tcPr>
            <w:tcW w:w="2098" w:type="dxa"/>
          </w:tcPr>
          <w:p w:rsidR="00CC0F69" w:rsidRDefault="00CC0F69">
            <w:pPr>
              <w:pStyle w:val="ConsPlusNormal"/>
              <w:jc w:val="center"/>
            </w:pPr>
            <w:r>
              <w:t>0,0124</w:t>
            </w:r>
          </w:p>
        </w:tc>
        <w:tc>
          <w:tcPr>
            <w:tcW w:w="2098" w:type="dxa"/>
          </w:tcPr>
          <w:p w:rsidR="00CC0F69" w:rsidRDefault="00CC0F69">
            <w:pPr>
              <w:pStyle w:val="ConsPlusNormal"/>
              <w:jc w:val="center"/>
            </w:pPr>
            <w:r>
              <w:t>0,0127</w:t>
            </w:r>
          </w:p>
        </w:tc>
        <w:tc>
          <w:tcPr>
            <w:tcW w:w="2721" w:type="dxa"/>
          </w:tcPr>
          <w:p w:rsidR="00CC0F69" w:rsidRDefault="00CC0F69">
            <w:pPr>
              <w:pStyle w:val="ConsPlusNormal"/>
              <w:jc w:val="center"/>
            </w:pPr>
            <w:r>
              <w:t>0,0124</w:t>
            </w:r>
          </w:p>
        </w:tc>
      </w:tr>
      <w:tr w:rsidR="00CC0F69">
        <w:tc>
          <w:tcPr>
            <w:tcW w:w="2154" w:type="dxa"/>
          </w:tcPr>
          <w:p w:rsidR="00CC0F69" w:rsidRDefault="00CC0F69">
            <w:pPr>
              <w:pStyle w:val="ConsPlusNormal"/>
              <w:jc w:val="center"/>
            </w:pPr>
            <w:r>
              <w:t>11</w:t>
            </w:r>
          </w:p>
        </w:tc>
        <w:tc>
          <w:tcPr>
            <w:tcW w:w="2098" w:type="dxa"/>
          </w:tcPr>
          <w:p w:rsidR="00CC0F69" w:rsidRDefault="00CC0F69">
            <w:pPr>
              <w:pStyle w:val="ConsPlusNormal"/>
              <w:jc w:val="center"/>
            </w:pPr>
            <w:r>
              <w:t>0,0128</w:t>
            </w:r>
          </w:p>
        </w:tc>
        <w:tc>
          <w:tcPr>
            <w:tcW w:w="2098" w:type="dxa"/>
          </w:tcPr>
          <w:p w:rsidR="00CC0F69" w:rsidRDefault="00CC0F69">
            <w:pPr>
              <w:pStyle w:val="ConsPlusNormal"/>
              <w:jc w:val="center"/>
            </w:pPr>
            <w:r>
              <w:t>0,0125</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lastRenderedPageBreak/>
              <w:t>12 и более</w:t>
            </w:r>
          </w:p>
        </w:tc>
        <w:tc>
          <w:tcPr>
            <w:tcW w:w="2098" w:type="dxa"/>
          </w:tcPr>
          <w:p w:rsidR="00CC0F69" w:rsidRDefault="00CC0F69">
            <w:pPr>
              <w:pStyle w:val="ConsPlusNormal"/>
              <w:jc w:val="center"/>
            </w:pPr>
            <w:r>
              <w:t xml:space="preserve">0,0161 </w:t>
            </w:r>
            <w:hyperlink w:anchor="P594" w:history="1">
              <w:r>
                <w:rPr>
                  <w:color w:val="0000FF"/>
                </w:rPr>
                <w:t>&lt;*&gt;</w:t>
              </w:r>
            </w:hyperlink>
          </w:p>
        </w:tc>
        <w:tc>
          <w:tcPr>
            <w:tcW w:w="2098" w:type="dxa"/>
          </w:tcPr>
          <w:p w:rsidR="00CC0F69" w:rsidRDefault="00CC0F69">
            <w:pPr>
              <w:pStyle w:val="ConsPlusNormal"/>
              <w:jc w:val="center"/>
            </w:pPr>
            <w:r>
              <w:t>0,0121</w:t>
            </w:r>
          </w:p>
        </w:tc>
        <w:tc>
          <w:tcPr>
            <w:tcW w:w="2721" w:type="dxa"/>
          </w:tcPr>
          <w:p w:rsidR="00CC0F69" w:rsidRDefault="00CC0F69">
            <w:pPr>
              <w:pStyle w:val="ConsPlusNormal"/>
              <w:jc w:val="center"/>
            </w:pPr>
            <w:r>
              <w:t>0,0107</w:t>
            </w:r>
          </w:p>
        </w:tc>
      </w:tr>
      <w:tr w:rsidR="00CC0F69">
        <w:tblPrEx>
          <w:tblBorders>
            <w:insideH w:val="nil"/>
          </w:tblBorders>
        </w:tblPrEx>
        <w:tc>
          <w:tcPr>
            <w:tcW w:w="9071" w:type="dxa"/>
            <w:gridSpan w:val="4"/>
            <w:tcBorders>
              <w:bottom w:val="nil"/>
            </w:tcBorders>
            <w:vAlign w:val="center"/>
          </w:tcPr>
          <w:p w:rsidR="00CC0F69" w:rsidRDefault="00CC0F69">
            <w:pPr>
              <w:pStyle w:val="ConsPlusNormal"/>
              <w:jc w:val="center"/>
              <w:outlineLvl w:val="1"/>
            </w:pPr>
            <w:r>
              <w:t>3 группа муниципальных образований</w:t>
            </w:r>
          </w:p>
        </w:tc>
      </w:tr>
      <w:tr w:rsidR="00CC0F69">
        <w:tblPrEx>
          <w:tblBorders>
            <w:insideH w:val="nil"/>
          </w:tblBorders>
        </w:tblPrEx>
        <w:tc>
          <w:tcPr>
            <w:tcW w:w="9071" w:type="dxa"/>
            <w:gridSpan w:val="4"/>
            <w:tcBorders>
              <w:top w:val="nil"/>
            </w:tcBorders>
          </w:tcPr>
          <w:p w:rsidR="00CC0F69" w:rsidRDefault="00CC0F69">
            <w:pPr>
              <w:pStyle w:val="ConsPlusNormal"/>
              <w:jc w:val="center"/>
            </w:pPr>
            <w:r>
              <w:t xml:space="preserve">(в ред. </w:t>
            </w:r>
            <w:hyperlink r:id="rId14" w:history="1">
              <w:r>
                <w:rPr>
                  <w:color w:val="0000FF"/>
                </w:rPr>
                <w:t>Постановления</w:t>
              </w:r>
            </w:hyperlink>
            <w:r>
              <w:t xml:space="preserve"> РЭК Свердловской области от 20.11.2019 N 135-ПК)</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до 1999 года постройки включительно</w:t>
            </w:r>
          </w:p>
        </w:tc>
      </w:tr>
      <w:tr w:rsidR="00CC0F69">
        <w:tc>
          <w:tcPr>
            <w:tcW w:w="2154" w:type="dxa"/>
          </w:tcPr>
          <w:p w:rsidR="00CC0F69" w:rsidRDefault="00CC0F69">
            <w:pPr>
              <w:pStyle w:val="ConsPlusNormal"/>
              <w:jc w:val="center"/>
            </w:pPr>
            <w:r>
              <w:t>1</w:t>
            </w:r>
          </w:p>
        </w:tc>
        <w:tc>
          <w:tcPr>
            <w:tcW w:w="2098" w:type="dxa"/>
          </w:tcPr>
          <w:p w:rsidR="00CC0F69" w:rsidRDefault="00CC0F69">
            <w:pPr>
              <w:pStyle w:val="ConsPlusNormal"/>
              <w:jc w:val="center"/>
            </w:pPr>
            <w:r>
              <w:t>0,0443</w:t>
            </w:r>
          </w:p>
        </w:tc>
        <w:tc>
          <w:tcPr>
            <w:tcW w:w="2098" w:type="dxa"/>
          </w:tcPr>
          <w:p w:rsidR="00CC0F69" w:rsidRDefault="00CC0F69">
            <w:pPr>
              <w:pStyle w:val="ConsPlusNormal"/>
              <w:jc w:val="center"/>
            </w:pPr>
            <w:r>
              <w:t>0,0436</w:t>
            </w:r>
          </w:p>
        </w:tc>
        <w:tc>
          <w:tcPr>
            <w:tcW w:w="2721" w:type="dxa"/>
          </w:tcPr>
          <w:p w:rsidR="00CC0F69" w:rsidRDefault="00CC0F69">
            <w:pPr>
              <w:pStyle w:val="ConsPlusNormal"/>
              <w:jc w:val="center"/>
            </w:pPr>
            <w:r>
              <w:t>0,0447</w:t>
            </w:r>
          </w:p>
        </w:tc>
      </w:tr>
      <w:tr w:rsidR="00CC0F69">
        <w:tc>
          <w:tcPr>
            <w:tcW w:w="2154" w:type="dxa"/>
          </w:tcPr>
          <w:p w:rsidR="00CC0F69" w:rsidRDefault="00CC0F69">
            <w:pPr>
              <w:pStyle w:val="ConsPlusNormal"/>
              <w:jc w:val="center"/>
            </w:pPr>
            <w:r>
              <w:t>2</w:t>
            </w:r>
          </w:p>
        </w:tc>
        <w:tc>
          <w:tcPr>
            <w:tcW w:w="2098" w:type="dxa"/>
          </w:tcPr>
          <w:p w:rsidR="00CC0F69" w:rsidRDefault="00CC0F69">
            <w:pPr>
              <w:pStyle w:val="ConsPlusNormal"/>
              <w:jc w:val="center"/>
            </w:pPr>
            <w:r>
              <w:t>0,0449</w:t>
            </w:r>
          </w:p>
        </w:tc>
        <w:tc>
          <w:tcPr>
            <w:tcW w:w="2098" w:type="dxa"/>
          </w:tcPr>
          <w:p w:rsidR="00CC0F69" w:rsidRDefault="00CC0F69">
            <w:pPr>
              <w:pStyle w:val="ConsPlusNormal"/>
              <w:jc w:val="center"/>
            </w:pPr>
            <w:r>
              <w:t>0,0443</w:t>
            </w:r>
          </w:p>
        </w:tc>
        <w:tc>
          <w:tcPr>
            <w:tcW w:w="2721" w:type="dxa"/>
          </w:tcPr>
          <w:p w:rsidR="00CC0F69" w:rsidRDefault="00CC0F69">
            <w:pPr>
              <w:pStyle w:val="ConsPlusNormal"/>
              <w:jc w:val="center"/>
            </w:pPr>
            <w:r>
              <w:t>0,0452</w:t>
            </w:r>
          </w:p>
        </w:tc>
      </w:tr>
      <w:tr w:rsidR="00CC0F69">
        <w:tc>
          <w:tcPr>
            <w:tcW w:w="2154" w:type="dxa"/>
          </w:tcPr>
          <w:p w:rsidR="00CC0F69" w:rsidRDefault="00CC0F69">
            <w:pPr>
              <w:pStyle w:val="ConsPlusNormal"/>
              <w:jc w:val="center"/>
            </w:pPr>
            <w:r>
              <w:t>3 - 4</w:t>
            </w:r>
          </w:p>
        </w:tc>
        <w:tc>
          <w:tcPr>
            <w:tcW w:w="2098" w:type="dxa"/>
          </w:tcPr>
          <w:p w:rsidR="00CC0F69" w:rsidRDefault="00CC0F69">
            <w:pPr>
              <w:pStyle w:val="ConsPlusNormal"/>
              <w:jc w:val="center"/>
            </w:pPr>
            <w:r>
              <w:t>0,0286</w:t>
            </w:r>
          </w:p>
        </w:tc>
        <w:tc>
          <w:tcPr>
            <w:tcW w:w="2098" w:type="dxa"/>
          </w:tcPr>
          <w:p w:rsidR="00CC0F69" w:rsidRDefault="00CC0F69">
            <w:pPr>
              <w:pStyle w:val="ConsPlusNormal"/>
              <w:jc w:val="center"/>
            </w:pPr>
            <w:r>
              <w:t>0,0281</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5 - 9</w:t>
            </w:r>
          </w:p>
        </w:tc>
        <w:tc>
          <w:tcPr>
            <w:tcW w:w="2098" w:type="dxa"/>
          </w:tcPr>
          <w:p w:rsidR="00CC0F69" w:rsidRDefault="00CC0F69">
            <w:pPr>
              <w:pStyle w:val="ConsPlusNormal"/>
              <w:jc w:val="center"/>
            </w:pPr>
            <w:r>
              <w:t>0,0241</w:t>
            </w:r>
          </w:p>
        </w:tc>
        <w:tc>
          <w:tcPr>
            <w:tcW w:w="2098" w:type="dxa"/>
          </w:tcPr>
          <w:p w:rsidR="00CC0F69" w:rsidRDefault="00CC0F69">
            <w:pPr>
              <w:pStyle w:val="ConsPlusNormal"/>
              <w:jc w:val="center"/>
            </w:pPr>
            <w:r>
              <w:t>0,0245</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10</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11</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12</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13</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14</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15</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16 и более</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после 1999 года постройки</w:t>
            </w:r>
          </w:p>
        </w:tc>
      </w:tr>
      <w:tr w:rsidR="00CC0F69">
        <w:tc>
          <w:tcPr>
            <w:tcW w:w="2154" w:type="dxa"/>
          </w:tcPr>
          <w:p w:rsidR="00CC0F69" w:rsidRDefault="00CC0F69">
            <w:pPr>
              <w:pStyle w:val="ConsPlusNormal"/>
              <w:jc w:val="center"/>
            </w:pPr>
            <w:r>
              <w:t>1</w:t>
            </w:r>
          </w:p>
        </w:tc>
        <w:tc>
          <w:tcPr>
            <w:tcW w:w="2098" w:type="dxa"/>
          </w:tcPr>
          <w:p w:rsidR="00CC0F69" w:rsidRDefault="00CC0F69">
            <w:pPr>
              <w:pStyle w:val="ConsPlusNormal"/>
              <w:jc w:val="center"/>
            </w:pPr>
            <w:r>
              <w:t>0,0189</w:t>
            </w:r>
          </w:p>
        </w:tc>
        <w:tc>
          <w:tcPr>
            <w:tcW w:w="2098" w:type="dxa"/>
          </w:tcPr>
          <w:p w:rsidR="00CC0F69" w:rsidRDefault="00CC0F69">
            <w:pPr>
              <w:pStyle w:val="ConsPlusNormal"/>
              <w:jc w:val="center"/>
            </w:pPr>
            <w:r>
              <w:t>0,0189</w:t>
            </w:r>
          </w:p>
        </w:tc>
        <w:tc>
          <w:tcPr>
            <w:tcW w:w="2721" w:type="dxa"/>
          </w:tcPr>
          <w:p w:rsidR="00CC0F69" w:rsidRDefault="00CC0F69">
            <w:pPr>
              <w:pStyle w:val="ConsPlusNormal"/>
              <w:jc w:val="center"/>
            </w:pPr>
            <w:r>
              <w:t>0,0197</w:t>
            </w:r>
          </w:p>
        </w:tc>
      </w:tr>
      <w:tr w:rsidR="00CC0F69">
        <w:tc>
          <w:tcPr>
            <w:tcW w:w="2154" w:type="dxa"/>
          </w:tcPr>
          <w:p w:rsidR="00CC0F69" w:rsidRDefault="00CC0F69">
            <w:pPr>
              <w:pStyle w:val="ConsPlusNormal"/>
              <w:jc w:val="center"/>
            </w:pPr>
            <w:r>
              <w:t>2</w:t>
            </w:r>
          </w:p>
        </w:tc>
        <w:tc>
          <w:tcPr>
            <w:tcW w:w="2098" w:type="dxa"/>
          </w:tcPr>
          <w:p w:rsidR="00CC0F69" w:rsidRDefault="00CC0F69">
            <w:pPr>
              <w:pStyle w:val="ConsPlusNormal"/>
              <w:jc w:val="center"/>
            </w:pPr>
            <w:r>
              <w:t>0,0161</w:t>
            </w:r>
          </w:p>
        </w:tc>
        <w:tc>
          <w:tcPr>
            <w:tcW w:w="2098" w:type="dxa"/>
          </w:tcPr>
          <w:p w:rsidR="00CC0F69" w:rsidRDefault="00CC0F69">
            <w:pPr>
              <w:pStyle w:val="ConsPlusNormal"/>
              <w:jc w:val="center"/>
            </w:pPr>
            <w:r>
              <w:t>0,0161</w:t>
            </w:r>
          </w:p>
        </w:tc>
        <w:tc>
          <w:tcPr>
            <w:tcW w:w="2721" w:type="dxa"/>
          </w:tcPr>
          <w:p w:rsidR="00CC0F69" w:rsidRDefault="00CC0F69">
            <w:pPr>
              <w:pStyle w:val="ConsPlusNormal"/>
              <w:jc w:val="center"/>
            </w:pPr>
            <w:r>
              <w:t>0,0161</w:t>
            </w:r>
          </w:p>
        </w:tc>
      </w:tr>
      <w:tr w:rsidR="00CC0F69">
        <w:tc>
          <w:tcPr>
            <w:tcW w:w="2154" w:type="dxa"/>
          </w:tcPr>
          <w:p w:rsidR="00CC0F69" w:rsidRDefault="00CC0F69">
            <w:pPr>
              <w:pStyle w:val="ConsPlusNormal"/>
              <w:jc w:val="center"/>
            </w:pPr>
            <w:r>
              <w:t>3</w:t>
            </w:r>
          </w:p>
        </w:tc>
        <w:tc>
          <w:tcPr>
            <w:tcW w:w="2098" w:type="dxa"/>
          </w:tcPr>
          <w:p w:rsidR="00CC0F69" w:rsidRDefault="00CC0F69">
            <w:pPr>
              <w:pStyle w:val="ConsPlusNormal"/>
              <w:jc w:val="center"/>
            </w:pPr>
            <w:r>
              <w:t>0,0191</w:t>
            </w:r>
          </w:p>
        </w:tc>
        <w:tc>
          <w:tcPr>
            <w:tcW w:w="2098" w:type="dxa"/>
          </w:tcPr>
          <w:p w:rsidR="00CC0F69" w:rsidRDefault="00CC0F69">
            <w:pPr>
              <w:pStyle w:val="ConsPlusNormal"/>
              <w:jc w:val="center"/>
            </w:pPr>
            <w:r>
              <w:t>0,0169</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4 - 5</w:t>
            </w:r>
          </w:p>
        </w:tc>
        <w:tc>
          <w:tcPr>
            <w:tcW w:w="2098" w:type="dxa"/>
          </w:tcPr>
          <w:p w:rsidR="00CC0F69" w:rsidRDefault="00CC0F69">
            <w:pPr>
              <w:pStyle w:val="ConsPlusNormal"/>
              <w:jc w:val="center"/>
            </w:pPr>
            <w:r>
              <w:t>0,0155</w:t>
            </w:r>
          </w:p>
        </w:tc>
        <w:tc>
          <w:tcPr>
            <w:tcW w:w="2098" w:type="dxa"/>
          </w:tcPr>
          <w:p w:rsidR="00CC0F69" w:rsidRDefault="00CC0F69">
            <w:pPr>
              <w:pStyle w:val="ConsPlusNormal"/>
              <w:jc w:val="center"/>
            </w:pPr>
            <w:r>
              <w:t>0,0152</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6 - 7</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8</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9</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10</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11</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2154" w:type="dxa"/>
          </w:tcPr>
          <w:p w:rsidR="00CC0F69" w:rsidRDefault="00CC0F69">
            <w:pPr>
              <w:pStyle w:val="ConsPlusNormal"/>
              <w:jc w:val="center"/>
            </w:pPr>
            <w:r>
              <w:t>12 и более</w:t>
            </w:r>
          </w:p>
        </w:tc>
        <w:tc>
          <w:tcPr>
            <w:tcW w:w="2098" w:type="dxa"/>
          </w:tcPr>
          <w:p w:rsidR="00CC0F69" w:rsidRDefault="00CC0F69">
            <w:pPr>
              <w:pStyle w:val="ConsPlusNormal"/>
              <w:jc w:val="center"/>
            </w:pPr>
            <w:r>
              <w:t>-</w:t>
            </w:r>
          </w:p>
        </w:tc>
        <w:tc>
          <w:tcPr>
            <w:tcW w:w="2098" w:type="dxa"/>
          </w:tcPr>
          <w:p w:rsidR="00CC0F69" w:rsidRDefault="00CC0F69">
            <w:pPr>
              <w:pStyle w:val="ConsPlusNormal"/>
              <w:jc w:val="center"/>
            </w:pPr>
            <w:r>
              <w:t>-</w:t>
            </w:r>
          </w:p>
        </w:tc>
        <w:tc>
          <w:tcPr>
            <w:tcW w:w="2721" w:type="dxa"/>
          </w:tcPr>
          <w:p w:rsidR="00CC0F69" w:rsidRDefault="00CC0F69">
            <w:pPr>
              <w:pStyle w:val="ConsPlusNormal"/>
              <w:jc w:val="center"/>
            </w:pPr>
            <w:r>
              <w:t>-</w:t>
            </w:r>
          </w:p>
        </w:tc>
      </w:tr>
      <w:tr w:rsidR="00CC0F69">
        <w:tc>
          <w:tcPr>
            <w:tcW w:w="9071" w:type="dxa"/>
            <w:gridSpan w:val="4"/>
            <w:vAlign w:val="center"/>
          </w:tcPr>
          <w:p w:rsidR="00CC0F69" w:rsidRDefault="00CC0F69">
            <w:pPr>
              <w:pStyle w:val="ConsPlusNormal"/>
              <w:jc w:val="center"/>
              <w:outlineLvl w:val="1"/>
            </w:pPr>
            <w:r>
              <w:t>4 группа муниципальных образований</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до 1999 года постройки включительно</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0,0409</w:t>
            </w:r>
          </w:p>
        </w:tc>
        <w:tc>
          <w:tcPr>
            <w:tcW w:w="2098" w:type="dxa"/>
            <w:vAlign w:val="center"/>
          </w:tcPr>
          <w:p w:rsidR="00CC0F69" w:rsidRDefault="00CC0F69">
            <w:pPr>
              <w:pStyle w:val="ConsPlusNormal"/>
              <w:jc w:val="center"/>
            </w:pPr>
            <w:r>
              <w:t>0,0413</w:t>
            </w:r>
          </w:p>
        </w:tc>
        <w:tc>
          <w:tcPr>
            <w:tcW w:w="2721" w:type="dxa"/>
            <w:vAlign w:val="center"/>
          </w:tcPr>
          <w:p w:rsidR="00CC0F69" w:rsidRDefault="00CC0F69">
            <w:pPr>
              <w:pStyle w:val="ConsPlusNormal"/>
              <w:jc w:val="center"/>
            </w:pPr>
            <w:r>
              <w:t>0,0406</w:t>
            </w:r>
          </w:p>
        </w:tc>
      </w:tr>
      <w:tr w:rsidR="00CC0F69">
        <w:tc>
          <w:tcPr>
            <w:tcW w:w="2154" w:type="dxa"/>
            <w:vAlign w:val="center"/>
          </w:tcPr>
          <w:p w:rsidR="00CC0F69" w:rsidRDefault="00CC0F69">
            <w:pPr>
              <w:pStyle w:val="ConsPlusNormal"/>
              <w:jc w:val="center"/>
            </w:pPr>
            <w:r>
              <w:lastRenderedPageBreak/>
              <w:t>2</w:t>
            </w:r>
          </w:p>
        </w:tc>
        <w:tc>
          <w:tcPr>
            <w:tcW w:w="2098" w:type="dxa"/>
            <w:vAlign w:val="center"/>
          </w:tcPr>
          <w:p w:rsidR="00CC0F69" w:rsidRDefault="00CC0F69">
            <w:pPr>
              <w:pStyle w:val="ConsPlusNormal"/>
              <w:jc w:val="center"/>
            </w:pPr>
            <w:r>
              <w:t xml:space="preserve">0,0246 </w:t>
            </w:r>
            <w:hyperlink w:anchor="P594" w:history="1">
              <w:r>
                <w:rPr>
                  <w:color w:val="0000FF"/>
                </w:rPr>
                <w:t>&lt;*&gt;</w:t>
              </w:r>
            </w:hyperlink>
          </w:p>
        </w:tc>
        <w:tc>
          <w:tcPr>
            <w:tcW w:w="2098" w:type="dxa"/>
            <w:vAlign w:val="center"/>
          </w:tcPr>
          <w:p w:rsidR="00CC0F69" w:rsidRDefault="00CC0F69">
            <w:pPr>
              <w:pStyle w:val="ConsPlusNormal"/>
              <w:jc w:val="center"/>
            </w:pPr>
            <w:r>
              <w:t xml:space="preserve">0,0231 </w:t>
            </w:r>
            <w:hyperlink w:anchor="P594" w:history="1">
              <w:r>
                <w:rPr>
                  <w:color w:val="0000FF"/>
                </w:rPr>
                <w:t>&lt;*&gt;</w:t>
              </w:r>
            </w:hyperlink>
          </w:p>
        </w:tc>
        <w:tc>
          <w:tcPr>
            <w:tcW w:w="2721" w:type="dxa"/>
            <w:vAlign w:val="center"/>
          </w:tcPr>
          <w:p w:rsidR="00CC0F69" w:rsidRDefault="00CC0F69">
            <w:pPr>
              <w:pStyle w:val="ConsPlusNormal"/>
              <w:jc w:val="center"/>
            </w:pPr>
            <w:r>
              <w:t>0,0407</w:t>
            </w:r>
          </w:p>
        </w:tc>
      </w:tr>
      <w:tr w:rsidR="00CC0F69">
        <w:tc>
          <w:tcPr>
            <w:tcW w:w="2154" w:type="dxa"/>
            <w:vAlign w:val="center"/>
          </w:tcPr>
          <w:p w:rsidR="00CC0F69" w:rsidRDefault="00CC0F69">
            <w:pPr>
              <w:pStyle w:val="ConsPlusNormal"/>
              <w:jc w:val="center"/>
            </w:pPr>
            <w:r>
              <w:t>3 - 4</w:t>
            </w:r>
          </w:p>
        </w:tc>
        <w:tc>
          <w:tcPr>
            <w:tcW w:w="2098" w:type="dxa"/>
            <w:vAlign w:val="center"/>
          </w:tcPr>
          <w:p w:rsidR="00CC0F69" w:rsidRDefault="00CC0F69">
            <w:pPr>
              <w:pStyle w:val="ConsPlusNormal"/>
              <w:jc w:val="center"/>
            </w:pPr>
            <w:r>
              <w:t xml:space="preserve">0,0245 </w:t>
            </w:r>
            <w:hyperlink w:anchor="P594" w:history="1">
              <w:r>
                <w:rPr>
                  <w:color w:val="0000FF"/>
                </w:rPr>
                <w:t>&lt;*&gt;</w:t>
              </w:r>
            </w:hyperlink>
          </w:p>
        </w:tc>
        <w:tc>
          <w:tcPr>
            <w:tcW w:w="2098" w:type="dxa"/>
            <w:vAlign w:val="center"/>
          </w:tcPr>
          <w:p w:rsidR="00CC0F69" w:rsidRDefault="00CC0F69">
            <w:pPr>
              <w:pStyle w:val="ConsPlusNormal"/>
              <w:jc w:val="center"/>
            </w:pPr>
            <w:r>
              <w:t xml:space="preserve">0,0248 </w:t>
            </w:r>
            <w:hyperlink w:anchor="P594" w:history="1">
              <w:r>
                <w:rPr>
                  <w:color w:val="0000FF"/>
                </w:rPr>
                <w:t>&lt;*&gt;</w:t>
              </w:r>
            </w:hyperlink>
          </w:p>
        </w:tc>
        <w:tc>
          <w:tcPr>
            <w:tcW w:w="2721" w:type="dxa"/>
            <w:vAlign w:val="center"/>
          </w:tcPr>
          <w:p w:rsidR="00CC0F69" w:rsidRDefault="00CC0F69">
            <w:pPr>
              <w:pStyle w:val="ConsPlusNormal"/>
              <w:jc w:val="center"/>
            </w:pPr>
            <w:r>
              <w:t>0,0262</w:t>
            </w:r>
          </w:p>
        </w:tc>
      </w:tr>
      <w:tr w:rsidR="00CC0F69">
        <w:tc>
          <w:tcPr>
            <w:tcW w:w="2154" w:type="dxa"/>
            <w:vAlign w:val="center"/>
          </w:tcPr>
          <w:p w:rsidR="00CC0F69" w:rsidRDefault="00CC0F69">
            <w:pPr>
              <w:pStyle w:val="ConsPlusNormal"/>
              <w:jc w:val="center"/>
            </w:pPr>
            <w:r>
              <w:t>5 - 9</w:t>
            </w:r>
          </w:p>
        </w:tc>
        <w:tc>
          <w:tcPr>
            <w:tcW w:w="2098" w:type="dxa"/>
            <w:vAlign w:val="center"/>
          </w:tcPr>
          <w:p w:rsidR="00CC0F69" w:rsidRDefault="00CC0F69">
            <w:pPr>
              <w:pStyle w:val="ConsPlusNormal"/>
              <w:jc w:val="center"/>
            </w:pPr>
            <w:r>
              <w:t xml:space="preserve">0,0233 </w:t>
            </w:r>
            <w:hyperlink w:anchor="P594" w:history="1">
              <w:r>
                <w:rPr>
                  <w:color w:val="0000FF"/>
                </w:rPr>
                <w:t>&lt;*&gt;</w:t>
              </w:r>
            </w:hyperlink>
          </w:p>
        </w:tc>
        <w:tc>
          <w:tcPr>
            <w:tcW w:w="2098" w:type="dxa"/>
            <w:vAlign w:val="center"/>
          </w:tcPr>
          <w:p w:rsidR="00CC0F69" w:rsidRDefault="00CC0F69">
            <w:pPr>
              <w:pStyle w:val="ConsPlusNormal"/>
              <w:jc w:val="center"/>
            </w:pPr>
            <w:r>
              <w:t xml:space="preserve">0,0213 </w:t>
            </w:r>
            <w:hyperlink w:anchor="P594" w:history="1">
              <w:r>
                <w:rPr>
                  <w:color w:val="0000FF"/>
                </w:rPr>
                <w:t>&lt;*&gt;</w:t>
              </w:r>
            </w:hyperlink>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13</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14</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15</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16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0,0257</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после 1999 года постройки</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3</w:t>
            </w:r>
          </w:p>
        </w:tc>
        <w:tc>
          <w:tcPr>
            <w:tcW w:w="2098" w:type="dxa"/>
            <w:vAlign w:val="center"/>
          </w:tcPr>
          <w:p w:rsidR="00CC0F69" w:rsidRDefault="00CC0F69">
            <w:pPr>
              <w:pStyle w:val="ConsPlusNormal"/>
              <w:jc w:val="center"/>
            </w:pPr>
            <w:r>
              <w:t>0,0163</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4 - 5</w:t>
            </w:r>
          </w:p>
        </w:tc>
        <w:tc>
          <w:tcPr>
            <w:tcW w:w="2098" w:type="dxa"/>
            <w:vAlign w:val="center"/>
          </w:tcPr>
          <w:p w:rsidR="00CC0F69" w:rsidRDefault="00CC0F69">
            <w:pPr>
              <w:pStyle w:val="ConsPlusNormal"/>
              <w:jc w:val="center"/>
            </w:pPr>
            <w:r>
              <w:t>0,0137</w:t>
            </w:r>
          </w:p>
        </w:tc>
        <w:tc>
          <w:tcPr>
            <w:tcW w:w="2098" w:type="dxa"/>
            <w:vAlign w:val="center"/>
          </w:tcPr>
          <w:p w:rsidR="00CC0F69" w:rsidRDefault="00CC0F69">
            <w:pPr>
              <w:pStyle w:val="ConsPlusNormal"/>
              <w:jc w:val="center"/>
            </w:pPr>
            <w:r>
              <w:t>0,0141</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6 - 7</w:t>
            </w:r>
          </w:p>
        </w:tc>
        <w:tc>
          <w:tcPr>
            <w:tcW w:w="2098" w:type="dxa"/>
            <w:vAlign w:val="center"/>
          </w:tcPr>
          <w:p w:rsidR="00CC0F69" w:rsidRDefault="00CC0F69">
            <w:pPr>
              <w:pStyle w:val="ConsPlusNormal"/>
              <w:jc w:val="center"/>
            </w:pPr>
            <w:r>
              <w:t>0,0130</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8</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9</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0,0122</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9071" w:type="dxa"/>
            <w:gridSpan w:val="4"/>
            <w:vAlign w:val="center"/>
          </w:tcPr>
          <w:p w:rsidR="00CC0F69" w:rsidRDefault="00CC0F69">
            <w:pPr>
              <w:pStyle w:val="ConsPlusNormal"/>
              <w:jc w:val="center"/>
              <w:outlineLvl w:val="1"/>
            </w:pPr>
            <w:r>
              <w:t>5 группа муниципальных образований</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до 1999 года постройки включительно</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0,0426</w:t>
            </w:r>
          </w:p>
        </w:tc>
        <w:tc>
          <w:tcPr>
            <w:tcW w:w="2098" w:type="dxa"/>
            <w:vAlign w:val="center"/>
          </w:tcPr>
          <w:p w:rsidR="00CC0F69" w:rsidRDefault="00CC0F69">
            <w:pPr>
              <w:pStyle w:val="ConsPlusNormal"/>
              <w:jc w:val="center"/>
            </w:pPr>
            <w:r>
              <w:t>0,0418</w:t>
            </w:r>
          </w:p>
        </w:tc>
        <w:tc>
          <w:tcPr>
            <w:tcW w:w="2721" w:type="dxa"/>
            <w:vAlign w:val="center"/>
          </w:tcPr>
          <w:p w:rsidR="00CC0F69" w:rsidRDefault="00CC0F69">
            <w:pPr>
              <w:pStyle w:val="ConsPlusNormal"/>
              <w:jc w:val="center"/>
            </w:pPr>
            <w:r>
              <w:t>0,0421</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0,0429</w:t>
            </w:r>
          </w:p>
        </w:tc>
        <w:tc>
          <w:tcPr>
            <w:tcW w:w="2098" w:type="dxa"/>
            <w:vAlign w:val="center"/>
          </w:tcPr>
          <w:p w:rsidR="00CC0F69" w:rsidRDefault="00CC0F69">
            <w:pPr>
              <w:pStyle w:val="ConsPlusNormal"/>
              <w:jc w:val="center"/>
            </w:pPr>
            <w:r>
              <w:t>0,0424</w:t>
            </w:r>
          </w:p>
        </w:tc>
        <w:tc>
          <w:tcPr>
            <w:tcW w:w="2721" w:type="dxa"/>
            <w:vAlign w:val="center"/>
          </w:tcPr>
          <w:p w:rsidR="00CC0F69" w:rsidRDefault="00CC0F69">
            <w:pPr>
              <w:pStyle w:val="ConsPlusNormal"/>
              <w:jc w:val="center"/>
            </w:pPr>
            <w:r>
              <w:t>0,0429</w:t>
            </w:r>
          </w:p>
        </w:tc>
      </w:tr>
      <w:tr w:rsidR="00CC0F69">
        <w:tc>
          <w:tcPr>
            <w:tcW w:w="2154" w:type="dxa"/>
            <w:vAlign w:val="center"/>
          </w:tcPr>
          <w:p w:rsidR="00CC0F69" w:rsidRDefault="00CC0F69">
            <w:pPr>
              <w:pStyle w:val="ConsPlusNormal"/>
              <w:jc w:val="center"/>
            </w:pPr>
            <w:r>
              <w:t>3 - 4</w:t>
            </w:r>
          </w:p>
        </w:tc>
        <w:tc>
          <w:tcPr>
            <w:tcW w:w="2098" w:type="dxa"/>
            <w:vAlign w:val="center"/>
          </w:tcPr>
          <w:p w:rsidR="00CC0F69" w:rsidRDefault="00CC0F69">
            <w:pPr>
              <w:pStyle w:val="ConsPlusNormal"/>
              <w:jc w:val="center"/>
            </w:pPr>
            <w:r>
              <w:t>0,0270</w:t>
            </w:r>
          </w:p>
        </w:tc>
        <w:tc>
          <w:tcPr>
            <w:tcW w:w="2098" w:type="dxa"/>
            <w:vAlign w:val="center"/>
          </w:tcPr>
          <w:p w:rsidR="00CC0F69" w:rsidRDefault="00CC0F69">
            <w:pPr>
              <w:pStyle w:val="ConsPlusNormal"/>
              <w:jc w:val="center"/>
            </w:pPr>
            <w:r>
              <w:t>0,0267</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5 - 9</w:t>
            </w:r>
          </w:p>
        </w:tc>
        <w:tc>
          <w:tcPr>
            <w:tcW w:w="2098" w:type="dxa"/>
            <w:vAlign w:val="center"/>
          </w:tcPr>
          <w:p w:rsidR="00CC0F69" w:rsidRDefault="00CC0F69">
            <w:pPr>
              <w:pStyle w:val="ConsPlusNormal"/>
              <w:jc w:val="center"/>
            </w:pPr>
            <w:r>
              <w:t>0,0245</w:t>
            </w:r>
          </w:p>
        </w:tc>
        <w:tc>
          <w:tcPr>
            <w:tcW w:w="2098" w:type="dxa"/>
            <w:vAlign w:val="center"/>
          </w:tcPr>
          <w:p w:rsidR="00CC0F69" w:rsidRDefault="00CC0F69">
            <w:pPr>
              <w:pStyle w:val="ConsPlusNormal"/>
              <w:jc w:val="center"/>
            </w:pPr>
            <w:r>
              <w:t>0,0235</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lastRenderedPageBreak/>
              <w:t>12</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13</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14</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15</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16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после 1999 года постройки</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0,0175</w:t>
            </w:r>
          </w:p>
        </w:tc>
        <w:tc>
          <w:tcPr>
            <w:tcW w:w="2721" w:type="dxa"/>
            <w:vAlign w:val="center"/>
          </w:tcPr>
          <w:p w:rsidR="00CC0F69" w:rsidRDefault="00CC0F69">
            <w:pPr>
              <w:pStyle w:val="ConsPlusNormal"/>
              <w:jc w:val="center"/>
            </w:pPr>
            <w:r>
              <w:t>0,0175</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0,0185</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0,0159</w:t>
            </w:r>
          </w:p>
        </w:tc>
      </w:tr>
      <w:tr w:rsidR="00CC0F69">
        <w:tc>
          <w:tcPr>
            <w:tcW w:w="2154" w:type="dxa"/>
            <w:vAlign w:val="center"/>
          </w:tcPr>
          <w:p w:rsidR="00CC0F69" w:rsidRDefault="00CC0F69">
            <w:pPr>
              <w:pStyle w:val="ConsPlusNormal"/>
              <w:jc w:val="center"/>
            </w:pPr>
            <w:r>
              <w:t>3</w:t>
            </w:r>
          </w:p>
        </w:tc>
        <w:tc>
          <w:tcPr>
            <w:tcW w:w="2098" w:type="dxa"/>
            <w:vAlign w:val="center"/>
          </w:tcPr>
          <w:p w:rsidR="00CC0F69" w:rsidRDefault="00CC0F69">
            <w:pPr>
              <w:pStyle w:val="ConsPlusNormal"/>
              <w:jc w:val="center"/>
            </w:pPr>
            <w:r>
              <w:t>0,0159</w:t>
            </w:r>
          </w:p>
        </w:tc>
        <w:tc>
          <w:tcPr>
            <w:tcW w:w="2098" w:type="dxa"/>
            <w:vAlign w:val="center"/>
          </w:tcPr>
          <w:p w:rsidR="00CC0F69" w:rsidRDefault="00CC0F69">
            <w:pPr>
              <w:pStyle w:val="ConsPlusNormal"/>
              <w:jc w:val="center"/>
            </w:pPr>
            <w:r>
              <w:t>0,0158</w:t>
            </w:r>
          </w:p>
        </w:tc>
        <w:tc>
          <w:tcPr>
            <w:tcW w:w="2721" w:type="dxa"/>
            <w:vAlign w:val="center"/>
          </w:tcPr>
          <w:p w:rsidR="00CC0F69" w:rsidRDefault="00CC0F69">
            <w:pPr>
              <w:pStyle w:val="ConsPlusNormal"/>
              <w:jc w:val="center"/>
            </w:pPr>
            <w:r>
              <w:t>0,0169</w:t>
            </w:r>
          </w:p>
        </w:tc>
      </w:tr>
      <w:tr w:rsidR="00CC0F69">
        <w:tc>
          <w:tcPr>
            <w:tcW w:w="2154" w:type="dxa"/>
            <w:vAlign w:val="center"/>
          </w:tcPr>
          <w:p w:rsidR="00CC0F69" w:rsidRDefault="00CC0F69">
            <w:pPr>
              <w:pStyle w:val="ConsPlusNormal"/>
              <w:jc w:val="center"/>
            </w:pPr>
            <w:r>
              <w:t>4 - 5</w:t>
            </w:r>
          </w:p>
        </w:tc>
        <w:tc>
          <w:tcPr>
            <w:tcW w:w="2098" w:type="dxa"/>
            <w:vAlign w:val="center"/>
          </w:tcPr>
          <w:p w:rsidR="00CC0F69" w:rsidRDefault="00CC0F69">
            <w:pPr>
              <w:pStyle w:val="ConsPlusNormal"/>
              <w:jc w:val="center"/>
            </w:pPr>
            <w:r>
              <w:t>0,0129</w:t>
            </w:r>
          </w:p>
        </w:tc>
        <w:tc>
          <w:tcPr>
            <w:tcW w:w="2098" w:type="dxa"/>
            <w:vAlign w:val="center"/>
          </w:tcPr>
          <w:p w:rsidR="00CC0F69" w:rsidRDefault="00CC0F69">
            <w:pPr>
              <w:pStyle w:val="ConsPlusNormal"/>
              <w:jc w:val="center"/>
            </w:pPr>
            <w:r>
              <w:t>0,0146</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6 - 7</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8</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9</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pPr>
          </w:p>
        </w:tc>
      </w:tr>
      <w:tr w:rsidR="00CC0F69">
        <w:tc>
          <w:tcPr>
            <w:tcW w:w="9071" w:type="dxa"/>
            <w:gridSpan w:val="4"/>
            <w:vAlign w:val="center"/>
          </w:tcPr>
          <w:p w:rsidR="00CC0F69" w:rsidRDefault="00CC0F69">
            <w:pPr>
              <w:pStyle w:val="ConsPlusNormal"/>
              <w:jc w:val="center"/>
              <w:outlineLvl w:val="1"/>
            </w:pPr>
            <w:r>
              <w:t>6 группа муниципальных образований</w:t>
            </w:r>
          </w:p>
        </w:tc>
      </w:tr>
      <w:tr w:rsidR="00CC0F69">
        <w:tc>
          <w:tcPr>
            <w:tcW w:w="2154" w:type="dxa"/>
            <w:vAlign w:val="center"/>
          </w:tcPr>
          <w:p w:rsidR="00CC0F69" w:rsidRDefault="00CC0F69">
            <w:pPr>
              <w:pStyle w:val="ConsPlusNormal"/>
              <w:jc w:val="center"/>
            </w:pPr>
            <w:r>
              <w:t>Этажность</w:t>
            </w:r>
          </w:p>
        </w:tc>
        <w:tc>
          <w:tcPr>
            <w:tcW w:w="6917" w:type="dxa"/>
            <w:gridSpan w:val="3"/>
            <w:vAlign w:val="center"/>
          </w:tcPr>
          <w:p w:rsidR="00CC0F69" w:rsidRDefault="00CC0F69">
            <w:pPr>
              <w:pStyle w:val="ConsPlusNormal"/>
              <w:jc w:val="center"/>
            </w:pPr>
            <w:r>
              <w:t>Многоквартирные и жилые дома до 1999 года постройки включительно</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0,0432</w:t>
            </w:r>
          </w:p>
        </w:tc>
        <w:tc>
          <w:tcPr>
            <w:tcW w:w="2098" w:type="dxa"/>
            <w:vAlign w:val="center"/>
          </w:tcPr>
          <w:p w:rsidR="00CC0F69" w:rsidRDefault="00CC0F69">
            <w:pPr>
              <w:pStyle w:val="ConsPlusNormal"/>
              <w:jc w:val="center"/>
            </w:pPr>
            <w:r>
              <w:t>0,0424</w:t>
            </w:r>
          </w:p>
        </w:tc>
        <w:tc>
          <w:tcPr>
            <w:tcW w:w="2721" w:type="dxa"/>
            <w:vAlign w:val="center"/>
          </w:tcPr>
          <w:p w:rsidR="00CC0F69" w:rsidRDefault="00CC0F69">
            <w:pPr>
              <w:pStyle w:val="ConsPlusNormal"/>
              <w:jc w:val="center"/>
            </w:pPr>
            <w:r>
              <w:t>0,0424</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 xml:space="preserve">0,0227 </w:t>
            </w:r>
            <w:hyperlink w:anchor="P594" w:history="1">
              <w:r>
                <w:rPr>
                  <w:color w:val="0000FF"/>
                </w:rPr>
                <w:t>&lt;*&gt;</w:t>
              </w:r>
            </w:hyperlink>
          </w:p>
        </w:tc>
        <w:tc>
          <w:tcPr>
            <w:tcW w:w="2098" w:type="dxa"/>
            <w:vAlign w:val="center"/>
          </w:tcPr>
          <w:p w:rsidR="00CC0F69" w:rsidRDefault="00CC0F69">
            <w:pPr>
              <w:pStyle w:val="ConsPlusNormal"/>
              <w:jc w:val="center"/>
            </w:pPr>
            <w:r>
              <w:t>0,0423</w:t>
            </w:r>
          </w:p>
        </w:tc>
        <w:tc>
          <w:tcPr>
            <w:tcW w:w="2721" w:type="dxa"/>
            <w:vAlign w:val="center"/>
          </w:tcPr>
          <w:p w:rsidR="00CC0F69" w:rsidRDefault="00CC0F69">
            <w:pPr>
              <w:pStyle w:val="ConsPlusNormal"/>
              <w:jc w:val="center"/>
            </w:pPr>
            <w:r>
              <w:t>0,0432</w:t>
            </w:r>
          </w:p>
        </w:tc>
      </w:tr>
      <w:tr w:rsidR="00CC0F69">
        <w:tc>
          <w:tcPr>
            <w:tcW w:w="2154" w:type="dxa"/>
            <w:vAlign w:val="center"/>
          </w:tcPr>
          <w:p w:rsidR="00CC0F69" w:rsidRDefault="00CC0F69">
            <w:pPr>
              <w:pStyle w:val="ConsPlusNormal"/>
              <w:jc w:val="center"/>
            </w:pPr>
            <w:r>
              <w:t>3 - 4</w:t>
            </w:r>
          </w:p>
        </w:tc>
        <w:tc>
          <w:tcPr>
            <w:tcW w:w="2098" w:type="dxa"/>
            <w:vAlign w:val="center"/>
          </w:tcPr>
          <w:p w:rsidR="00CC0F69" w:rsidRDefault="00CC0F69">
            <w:pPr>
              <w:pStyle w:val="ConsPlusNormal"/>
              <w:jc w:val="center"/>
            </w:pPr>
            <w:r>
              <w:t xml:space="preserve">0,0217 </w:t>
            </w:r>
            <w:hyperlink w:anchor="P594" w:history="1">
              <w:r>
                <w:rPr>
                  <w:color w:val="0000FF"/>
                </w:rPr>
                <w:t>&lt;*&gt;</w:t>
              </w:r>
            </w:hyperlink>
          </w:p>
        </w:tc>
        <w:tc>
          <w:tcPr>
            <w:tcW w:w="2098" w:type="dxa"/>
            <w:vAlign w:val="center"/>
          </w:tcPr>
          <w:p w:rsidR="00CC0F69" w:rsidRDefault="00CC0F69">
            <w:pPr>
              <w:pStyle w:val="ConsPlusNormal"/>
              <w:jc w:val="center"/>
            </w:pPr>
            <w:r>
              <w:t>0,0266</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5 - 9</w:t>
            </w:r>
          </w:p>
        </w:tc>
        <w:tc>
          <w:tcPr>
            <w:tcW w:w="2098" w:type="dxa"/>
            <w:vAlign w:val="center"/>
          </w:tcPr>
          <w:p w:rsidR="00CC0F69" w:rsidRDefault="00CC0F69">
            <w:pPr>
              <w:pStyle w:val="ConsPlusNormal"/>
              <w:jc w:val="center"/>
            </w:pPr>
            <w:r>
              <w:t>0,0237</w:t>
            </w:r>
          </w:p>
        </w:tc>
        <w:tc>
          <w:tcPr>
            <w:tcW w:w="2098" w:type="dxa"/>
            <w:vAlign w:val="center"/>
          </w:tcPr>
          <w:p w:rsidR="00CC0F69" w:rsidRDefault="00CC0F69">
            <w:pPr>
              <w:pStyle w:val="ConsPlusNormal"/>
              <w:jc w:val="center"/>
            </w:pPr>
            <w:r>
              <w:t>0,0237</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13</w:t>
            </w:r>
          </w:p>
        </w:tc>
        <w:tc>
          <w:tcPr>
            <w:tcW w:w="2098" w:type="dxa"/>
            <w:vAlign w:val="center"/>
          </w:tcPr>
          <w:p w:rsidR="00CC0F69" w:rsidRDefault="00CC0F69">
            <w:pPr>
              <w:pStyle w:val="ConsPlusNormal"/>
            </w:pP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14</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15</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16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lastRenderedPageBreak/>
              <w:t>Этажность</w:t>
            </w:r>
          </w:p>
        </w:tc>
        <w:tc>
          <w:tcPr>
            <w:tcW w:w="6917" w:type="dxa"/>
            <w:gridSpan w:val="3"/>
            <w:vAlign w:val="center"/>
          </w:tcPr>
          <w:p w:rsidR="00CC0F69" w:rsidRDefault="00CC0F69">
            <w:pPr>
              <w:pStyle w:val="ConsPlusNormal"/>
              <w:jc w:val="center"/>
            </w:pPr>
            <w:r>
              <w:t>Многоквартирные и жилые дома после 1999 года постройки</w:t>
            </w:r>
          </w:p>
        </w:tc>
      </w:tr>
      <w:tr w:rsidR="00CC0F69">
        <w:tc>
          <w:tcPr>
            <w:tcW w:w="2154" w:type="dxa"/>
            <w:vAlign w:val="center"/>
          </w:tcPr>
          <w:p w:rsidR="00CC0F69" w:rsidRDefault="00CC0F69">
            <w:pPr>
              <w:pStyle w:val="ConsPlusNormal"/>
              <w:jc w:val="center"/>
            </w:pPr>
            <w:r>
              <w:t>1</w:t>
            </w:r>
          </w:p>
        </w:tc>
        <w:tc>
          <w:tcPr>
            <w:tcW w:w="2098" w:type="dxa"/>
            <w:vAlign w:val="center"/>
          </w:tcPr>
          <w:p w:rsidR="00CC0F69" w:rsidRDefault="00CC0F69">
            <w:pPr>
              <w:pStyle w:val="ConsPlusNormal"/>
              <w:jc w:val="center"/>
            </w:pPr>
            <w:r>
              <w:t>0,0173</w:t>
            </w:r>
          </w:p>
        </w:tc>
        <w:tc>
          <w:tcPr>
            <w:tcW w:w="2098" w:type="dxa"/>
            <w:vAlign w:val="center"/>
          </w:tcPr>
          <w:p w:rsidR="00CC0F69" w:rsidRDefault="00CC0F69">
            <w:pPr>
              <w:pStyle w:val="ConsPlusNormal"/>
              <w:jc w:val="center"/>
            </w:pPr>
            <w:r>
              <w:t>0,0174</w:t>
            </w:r>
          </w:p>
        </w:tc>
        <w:tc>
          <w:tcPr>
            <w:tcW w:w="2721" w:type="dxa"/>
            <w:vAlign w:val="center"/>
          </w:tcPr>
          <w:p w:rsidR="00CC0F69" w:rsidRDefault="00CC0F69">
            <w:pPr>
              <w:pStyle w:val="ConsPlusNormal"/>
              <w:jc w:val="center"/>
            </w:pPr>
            <w:r>
              <w:t>0,0174</w:t>
            </w:r>
          </w:p>
        </w:tc>
      </w:tr>
      <w:tr w:rsidR="00CC0F69">
        <w:tc>
          <w:tcPr>
            <w:tcW w:w="2154" w:type="dxa"/>
            <w:vAlign w:val="center"/>
          </w:tcPr>
          <w:p w:rsidR="00CC0F69" w:rsidRDefault="00CC0F69">
            <w:pPr>
              <w:pStyle w:val="ConsPlusNormal"/>
              <w:jc w:val="center"/>
            </w:pPr>
            <w:r>
              <w:t>2</w:t>
            </w:r>
          </w:p>
        </w:tc>
        <w:tc>
          <w:tcPr>
            <w:tcW w:w="2098" w:type="dxa"/>
            <w:vAlign w:val="center"/>
          </w:tcPr>
          <w:p w:rsidR="00CC0F69" w:rsidRDefault="00CC0F69">
            <w:pPr>
              <w:pStyle w:val="ConsPlusNormal"/>
              <w:jc w:val="center"/>
            </w:pPr>
            <w:r>
              <w:t>0,0146</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3</w:t>
            </w:r>
          </w:p>
        </w:tc>
        <w:tc>
          <w:tcPr>
            <w:tcW w:w="2098" w:type="dxa"/>
            <w:vAlign w:val="center"/>
          </w:tcPr>
          <w:p w:rsidR="00CC0F69" w:rsidRDefault="00CC0F69">
            <w:pPr>
              <w:pStyle w:val="ConsPlusNormal"/>
              <w:jc w:val="center"/>
            </w:pPr>
            <w:r>
              <w:t>0,0160</w:t>
            </w:r>
          </w:p>
        </w:tc>
        <w:tc>
          <w:tcPr>
            <w:tcW w:w="2098" w:type="dxa"/>
            <w:vAlign w:val="center"/>
          </w:tcPr>
          <w:p w:rsidR="00CC0F69" w:rsidRDefault="00CC0F69">
            <w:pPr>
              <w:pStyle w:val="ConsPlusNormal"/>
              <w:jc w:val="center"/>
            </w:pPr>
            <w:r>
              <w:t>0,0166</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4 - 5</w:t>
            </w:r>
          </w:p>
        </w:tc>
        <w:tc>
          <w:tcPr>
            <w:tcW w:w="2098" w:type="dxa"/>
            <w:vAlign w:val="center"/>
          </w:tcPr>
          <w:p w:rsidR="00CC0F69" w:rsidRDefault="00CC0F69">
            <w:pPr>
              <w:pStyle w:val="ConsPlusNormal"/>
              <w:jc w:val="center"/>
            </w:pPr>
            <w:r>
              <w:t>0,0138</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6 - 7</w:t>
            </w:r>
          </w:p>
        </w:tc>
        <w:tc>
          <w:tcPr>
            <w:tcW w:w="2098" w:type="dxa"/>
            <w:vAlign w:val="center"/>
          </w:tcPr>
          <w:p w:rsidR="00CC0F69" w:rsidRDefault="00CC0F69">
            <w:pPr>
              <w:pStyle w:val="ConsPlusNormal"/>
              <w:jc w:val="center"/>
            </w:pPr>
            <w:r>
              <w:t>0,0132</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8</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9</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10</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11</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r w:rsidR="00CC0F69">
        <w:tc>
          <w:tcPr>
            <w:tcW w:w="2154" w:type="dxa"/>
            <w:vAlign w:val="center"/>
          </w:tcPr>
          <w:p w:rsidR="00CC0F69" w:rsidRDefault="00CC0F69">
            <w:pPr>
              <w:pStyle w:val="ConsPlusNormal"/>
              <w:jc w:val="center"/>
            </w:pPr>
            <w:r>
              <w:t>12 и более</w:t>
            </w:r>
          </w:p>
        </w:tc>
        <w:tc>
          <w:tcPr>
            <w:tcW w:w="2098" w:type="dxa"/>
            <w:vAlign w:val="center"/>
          </w:tcPr>
          <w:p w:rsidR="00CC0F69" w:rsidRDefault="00CC0F69">
            <w:pPr>
              <w:pStyle w:val="ConsPlusNormal"/>
              <w:jc w:val="center"/>
            </w:pPr>
            <w:r>
              <w:t>-</w:t>
            </w:r>
          </w:p>
        </w:tc>
        <w:tc>
          <w:tcPr>
            <w:tcW w:w="2098" w:type="dxa"/>
            <w:vAlign w:val="center"/>
          </w:tcPr>
          <w:p w:rsidR="00CC0F69" w:rsidRDefault="00CC0F69">
            <w:pPr>
              <w:pStyle w:val="ConsPlusNormal"/>
              <w:jc w:val="center"/>
            </w:pPr>
            <w:r>
              <w:t>-</w:t>
            </w:r>
          </w:p>
        </w:tc>
        <w:tc>
          <w:tcPr>
            <w:tcW w:w="2721" w:type="dxa"/>
            <w:vAlign w:val="center"/>
          </w:tcPr>
          <w:p w:rsidR="00CC0F69" w:rsidRDefault="00CC0F69">
            <w:pPr>
              <w:pStyle w:val="ConsPlusNormal"/>
              <w:jc w:val="center"/>
            </w:pPr>
            <w:r>
              <w:t>-</w:t>
            </w:r>
          </w:p>
        </w:tc>
      </w:tr>
    </w:tbl>
    <w:p w:rsidR="00CC0F69" w:rsidRDefault="00CC0F69">
      <w:pPr>
        <w:pStyle w:val="ConsPlusNormal"/>
      </w:pPr>
    </w:p>
    <w:p w:rsidR="00CC0F69" w:rsidRDefault="00CC0F69">
      <w:pPr>
        <w:pStyle w:val="ConsPlusNormal"/>
        <w:ind w:firstLine="540"/>
        <w:jc w:val="both"/>
      </w:pPr>
      <w:r>
        <w:t>Примечания:</w:t>
      </w:r>
    </w:p>
    <w:p w:rsidR="00CC0F69" w:rsidRDefault="00CC0F69">
      <w:pPr>
        <w:pStyle w:val="ConsPlusNormal"/>
      </w:pPr>
    </w:p>
    <w:p w:rsidR="00CC0F69" w:rsidRDefault="00CC0F69">
      <w:pPr>
        <w:pStyle w:val="ConsPlusNormal"/>
        <w:ind w:firstLine="540"/>
        <w:jc w:val="both"/>
      </w:pPr>
      <w:r>
        <w:t>1. Группы муниципальных образований, расположенных на территории Свердловской области:</w:t>
      </w:r>
    </w:p>
    <w:p w:rsidR="00CC0F69" w:rsidRDefault="00CC0F69">
      <w:pPr>
        <w:pStyle w:val="ConsPlusNormal"/>
        <w:spacing w:before="220"/>
        <w:ind w:firstLine="540"/>
        <w:jc w:val="both"/>
      </w:pPr>
      <w:r>
        <w:t>1 группа: Верхнесалдинский городской округ, Городской округ Верхняя Тура, городской округ Верхотурский, Горноуральский городской округ, городской округ Карпинск, Качканарский городской округ, городской округ Краснотурьинск, городской округ Красноуральск, Кушвинский городской округ, "Городской округ "Город Лесной", Махнёвское муниципальное образование, Нижнетуринский городской округ, город Нижний Тагил, городской округ Нижняя Салда, Новолялинский городской округ, городской округ ЗАТО Свободный, Серовский городской округ, Сосьвинский городской округ;</w:t>
      </w:r>
    </w:p>
    <w:p w:rsidR="00CC0F69" w:rsidRDefault="00CC0F69">
      <w:pPr>
        <w:pStyle w:val="ConsPlusNormal"/>
        <w:spacing w:before="220"/>
        <w:ind w:firstLine="540"/>
        <w:jc w:val="both"/>
      </w:pPr>
      <w:r>
        <w:t>2 группа: муниципальное образование "город Екатеринбург", муниципальное образование Алапаевское, Муниципальное образование город Алапаевск, Арамильский городской округ, Артемовский городской округ, Асбестовский городской округ, Белоярский городской округ, Березовский городской округ, Бисертский городской округ, городской округ Богданович, городской округ Верх-Нейвинский, городской округ Верхнее Дуброво, городской округ Верхний Тагил, городской округ Верхняя Пышма, городской округ Дегтярск, городской округ Заречный, Камышловский городской округ, Кировградский городской округ, Малышевский городской округ, Невьянский городской округ, Новоуральский городской округ, городской округ Первоуральск, Полевской городской округ, Пышминский городской округ, городской округ Ревда, Режевской городской округ, городской округ Рефтинский, городской округ Среднеуральск, городской округ Староуткинск, городской округ Сухой Лог, Сысертский городской округ, Талицкий городской округ, муниципальное образование "поселок Уральский", муниципальное образование "Восточное сельское поселение", муниципальное образование "Галкинское сельское поселение", муниципальное образование "Зареченское сельское поселение", муниципальное образование "Калиновское сельское поселение", муниципальное образование "Обуховское сельское поселение", муниципальное образование рабочий поселок Атиг, городское поселение Верхние Серги, Дружининское городское поселение, Кленовское сельское поселение, Михайловское муниципальное образование, Нижнесергинское городское поселение;</w:t>
      </w:r>
    </w:p>
    <w:p w:rsidR="00CC0F69" w:rsidRDefault="00CC0F69">
      <w:pPr>
        <w:pStyle w:val="ConsPlusNormal"/>
        <w:spacing w:before="220"/>
        <w:ind w:firstLine="540"/>
        <w:jc w:val="both"/>
      </w:pPr>
      <w:r>
        <w:t xml:space="preserve">3 группа: Волчанский городской округ, Ивдельский городской округ, городской округ Пелым, </w:t>
      </w:r>
      <w:r>
        <w:lastRenderedPageBreak/>
        <w:t>Североуральский городской округ;</w:t>
      </w:r>
    </w:p>
    <w:p w:rsidR="00CC0F69" w:rsidRDefault="00CC0F69">
      <w:pPr>
        <w:pStyle w:val="ConsPlusNormal"/>
        <w:spacing w:before="220"/>
        <w:ind w:firstLine="540"/>
        <w:jc w:val="both"/>
      </w:pPr>
      <w:r>
        <w:t>4 группа: город Каменск-Уральский, Каменский городской округ;</w:t>
      </w:r>
    </w:p>
    <w:p w:rsidR="00CC0F69" w:rsidRDefault="00CC0F69">
      <w:pPr>
        <w:pStyle w:val="ConsPlusNormal"/>
        <w:spacing w:before="220"/>
        <w:ind w:firstLine="540"/>
        <w:jc w:val="both"/>
      </w:pPr>
      <w:r>
        <w:t>5 группа: Муниципальное образование город Ирбит, Ирбитское муниципальное образование, Тавдинский городской округ, Тугулымский городской округ, Туринский городской округ, Байкаловское сельское поселение, Краснополянское сельское поселение, Ницинское сельское поселение, Слободо-Туринское сельское поселение, Сладковское сельское поселение, Усть-Ницинское сельское поселение, Таборинское сельское поселение;</w:t>
      </w:r>
    </w:p>
    <w:p w:rsidR="00CC0F69" w:rsidRDefault="00CC0F69">
      <w:pPr>
        <w:pStyle w:val="ConsPlusNormal"/>
        <w:spacing w:before="220"/>
        <w:ind w:firstLine="540"/>
        <w:jc w:val="both"/>
      </w:pPr>
      <w:r>
        <w:t>6 группа: Артинский городской округ, Ачитский городской округ, городской округ Красноуфимск, Муниципальное образование Красноуфимский округ, Шалинский городской округ.</w:t>
      </w:r>
    </w:p>
    <w:p w:rsidR="00CC0F69" w:rsidRDefault="00CC0F69">
      <w:pPr>
        <w:pStyle w:val="ConsPlusNormal"/>
        <w:spacing w:before="220"/>
        <w:ind w:firstLine="540"/>
        <w:jc w:val="both"/>
      </w:pPr>
      <w:bookmarkStart w:id="1" w:name="P594"/>
      <w:bookmarkEnd w:id="1"/>
      <w:r>
        <w:t>2. Нормативы потребления коммунальной услуги по отоплению на территории Свердловской области, отмеченные "&lt;*&gt;", - определены с применением метода аналогов, не отмеченные "&lt;*&gt;", - определены с применением расчетного метода.</w:t>
      </w:r>
    </w:p>
    <w:p w:rsidR="00CC0F69" w:rsidRDefault="00CC0F69">
      <w:pPr>
        <w:pStyle w:val="ConsPlusNormal"/>
        <w:spacing w:before="220"/>
        <w:ind w:firstLine="540"/>
        <w:jc w:val="both"/>
      </w:pPr>
      <w:r>
        <w:t>3. Продолжительность отопительного периода (количество календарных месяцев, в том числе неполных), определенного для установления нормативов потребления коммунальной услуги по отоплению, утвержденных на отопительный период, составляет 9 календарных месяцев (сентябрь, октябрь, ноябрь, декабрь, январь, февраль, март, апрель, май).</w:t>
      </w:r>
    </w:p>
    <w:p w:rsidR="00CC0F69" w:rsidRDefault="00CC0F69">
      <w:pPr>
        <w:pStyle w:val="ConsPlusNormal"/>
      </w:pPr>
    </w:p>
    <w:p w:rsidR="00CC0F69" w:rsidRDefault="00CC0F69">
      <w:pPr>
        <w:pStyle w:val="ConsPlusNormal"/>
      </w:pPr>
    </w:p>
    <w:p w:rsidR="00CC0F69" w:rsidRDefault="00CC0F69">
      <w:pPr>
        <w:pStyle w:val="ConsPlusNormal"/>
        <w:pBdr>
          <w:top w:val="single" w:sz="6" w:space="0" w:color="auto"/>
        </w:pBdr>
        <w:spacing w:before="100" w:after="100"/>
        <w:jc w:val="both"/>
        <w:rPr>
          <w:sz w:val="2"/>
          <w:szCs w:val="2"/>
        </w:rPr>
      </w:pPr>
    </w:p>
    <w:p w:rsidR="00DD2407" w:rsidRDefault="00DD2407">
      <w:bookmarkStart w:id="2" w:name="_GoBack"/>
      <w:bookmarkEnd w:id="2"/>
    </w:p>
    <w:sectPr w:rsidR="00DD2407" w:rsidSect="002A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69"/>
    <w:rsid w:val="00CC0F69"/>
    <w:rsid w:val="00DD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C405C-1D5C-47D4-B6D4-FBD9F756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F6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1120F12A334FC746A75C08F7E53DD016A2F2822D6BC46F413CD9AFC7DFEA5BE1FADE4F65E20304DDDE4EB8DF13965AFAFDC4A8DF71176C4g1G" TargetMode="External"/><Relationship Id="rId13" Type="http://schemas.openxmlformats.org/officeDocument/2006/relationships/hyperlink" Target="consultantplus://offline/ref=5001120F12A334FC746A6BCD99120DD70266782621D3B314AB40CBCDA32DF8F0FE5FABB1B51A2B364FD6B0BACFAF6035EFE4D14A97EB11755F2E6C9BCDg4G" TargetMode="External"/><Relationship Id="rId3" Type="http://schemas.openxmlformats.org/officeDocument/2006/relationships/webSettings" Target="webSettings.xml"/><Relationship Id="rId7" Type="http://schemas.openxmlformats.org/officeDocument/2006/relationships/hyperlink" Target="consultantplus://offline/ref=5001120F12A334FC746A75C08F7E53DD006E222E26D0BC46F413CD9AFC7DFEA5BE1FADE3FE592D631E92E5B7C8A02A64AAAFDE4B91CFg5G" TargetMode="External"/><Relationship Id="rId12" Type="http://schemas.openxmlformats.org/officeDocument/2006/relationships/hyperlink" Target="consultantplus://offline/ref=5001120F12A334FC746A6BCD99120DD70266782621D3B314AB40CBCDA32DF8F0FE5FABB1B51A2B364FD6B0BACCAF6035EFE4D14A97EB11755F2E6C9BCDg4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01120F12A334FC746A6BCD99120DD70266782621D3B012AF44CBCDA32DF8F0FE5FABB1B51A2B364FD6B0BACCAF6035EFE4D14A97EB11755F2E6C9BCDg4G" TargetMode="External"/><Relationship Id="rId11" Type="http://schemas.openxmlformats.org/officeDocument/2006/relationships/hyperlink" Target="consultantplus://offline/ref=5001120F12A334FC746A6BCD99120DD70266782621D3B012AF44CBCDA32DF8F0FE5FABB1B51A2B364FD6B0BACCAF6035EFE4D14A97EB11755F2E6C9BCDg4G" TargetMode="External"/><Relationship Id="rId5" Type="http://schemas.openxmlformats.org/officeDocument/2006/relationships/hyperlink" Target="consultantplus://offline/ref=5001120F12A334FC746A6BCD99120DD70266782621D3B314AB40CBCDA32DF8F0FE5FABB1B51A2B364FD6B0BACCAF6035EFE4D14A97EB11755F2E6C9BCDg4G" TargetMode="External"/><Relationship Id="rId15" Type="http://schemas.openxmlformats.org/officeDocument/2006/relationships/fontTable" Target="fontTable.xml"/><Relationship Id="rId10" Type="http://schemas.openxmlformats.org/officeDocument/2006/relationships/hyperlink" Target="consultantplus://offline/ref=5001120F12A334FC746A6BCD99120DD70266782622DDB116A145CBCDA32DF8F0FE5FABB1B51A2B364FD6B0BAC1AF6035EFE4D14A97EB11755F2E6C9BCDg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01120F12A334FC746A6BCD99120DD70266782621D3B717A141CBCDA32DF8F0FE5FABB1B51A2B364FD6B5B8CAAF6035EFE4D14A97EB11755F2E6C9BCDg4G" TargetMode="External"/><Relationship Id="rId14" Type="http://schemas.openxmlformats.org/officeDocument/2006/relationships/hyperlink" Target="consultantplus://offline/ref=5001120F12A334FC746A6BCD99120DD70266782621D3B314AB40CBCDA32DF8F0FE5FABB1B51A2B364FD6B0B3C1AF6035EFE4D14A97EB11755F2E6C9BCD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2020-01-14T06:32:00Z</dcterms:created>
  <dcterms:modified xsi:type="dcterms:W3CDTF">2020-01-14T06:32:00Z</dcterms:modified>
</cp:coreProperties>
</file>