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4A" w:rsidRDefault="002060DD" w:rsidP="00AE694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AE694A" w:rsidRDefault="00AE694A" w:rsidP="00AE69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>ФЕДЕРАЛЬНАЯ АНТИМОНОПОЛЬНАЯ СЛУЖБА</w:t>
      </w: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>от 5 февраля 2019 г. N 133/19</w:t>
      </w: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>ОБ УТВЕРЖДЕНИИ МЕТОДИКИ</w:t>
      </w: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>РАСЧЕТА КЛЮЧЕВЫХ ПОКАЗАТЕЛЕЙ ЭФФЕКТИВНОСТИ ФУНКЦИОНИРОВАНИЯ</w:t>
      </w: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>В ФЕДЕРАЛЬНОМ ОРГАНЕ ИСПОЛНИТЕЛЬНОЙ ВЛАСТИ</w:t>
      </w: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>АНТИМОНОПОЛЬНОГО КОМПЛАЕНСА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060DD">
          <w:rPr>
            <w:rFonts w:ascii="Times New Roman" w:hAnsi="Times New Roman" w:cs="Times New Roman"/>
            <w:color w:val="0000FF"/>
            <w:sz w:val="28"/>
            <w:szCs w:val="28"/>
          </w:rPr>
          <w:t>пунктом 29</w:t>
        </w:r>
      </w:hyperlink>
      <w:r w:rsidRPr="002060DD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Российской Федерации от 18 октября 2018 года N 2258-р, приказываю: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6" w:history="1">
        <w:r w:rsidRPr="002060DD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2060DD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N 1 к настоящему приказу.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2. Контроль исполнения настоящего приказа оставляю за собой.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И.Ю.АРТЕМЬЕВ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к приказу ФАС России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от 05.02.2019 N 133/19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6"/>
      <w:bookmarkEnd w:id="0"/>
      <w:r w:rsidRPr="002060DD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>РАСЧЕТА КЛЮЧЕВЫХ ПОКАЗАТЕЛЕЙ ЭФФЕКТИВНОСТИ ФУНКЦИОНИРОВАНИЯ</w:t>
      </w: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>В ФЕДЕРАЛЬНОМ ОРГАНЕ ИСПОЛНИТЕЛЬНОЙ ВЛАСТИ</w:t>
      </w: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>АНТИМОНОПОЛЬНОГО КОМПЛАЕНСА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 xml:space="preserve">1. Методика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ФАС России в соответствии с </w:t>
      </w:r>
      <w:hyperlink r:id="rId5" w:history="1">
        <w:r w:rsidRPr="002060DD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2060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 (далее - Методические рекомендации).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 xml:space="preserve">2. В целях оценки эффективности функционирования в федеральном органе исполнительной власти антимонопольного </w:t>
      </w: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в соответствии с Методикой рассчитываются ключевые показатели эффективности антимонопольного </w:t>
      </w: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(далее - КПЭ) как для уполномоченного подразделения (должностного лица), так и для федерального органа исполнительной власти в целом.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>II. Методика расчета КПЭ для федерального органа</w:t>
      </w: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>исполнительной власти в целом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 xml:space="preserve">3. Ключевыми показателями эффективности антимонопольного </w:t>
      </w: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для федерального органа исполнительной власти в целом являются: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годом);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б) 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в) доля нормативных правовых актов федерального органа исполнительной власти, в которых выявлены риски нарушения антимонопольного законодательства.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4. 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 рассчитывается по формуле: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965200" cy="3937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0DD">
        <w:rPr>
          <w:rFonts w:ascii="Times New Roman" w:hAnsi="Times New Roman" w:cs="Times New Roman"/>
          <w:sz w:val="28"/>
          <w:szCs w:val="28"/>
        </w:rPr>
        <w:t>, где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lastRenderedPageBreak/>
        <w:t>КСН - коэффициент снижения количества нарушений антимонопольного законодательства со стороны федерального органа исполнительной власти по сравнению с 2017 годом;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КН</w:t>
      </w:r>
      <w:r w:rsidRPr="002060DD">
        <w:rPr>
          <w:rFonts w:ascii="Times New Roman" w:hAnsi="Times New Roman" w:cs="Times New Roman"/>
          <w:sz w:val="28"/>
          <w:szCs w:val="28"/>
          <w:vertAlign w:val="subscript"/>
        </w:rPr>
        <w:t>2017</w:t>
      </w:r>
      <w:r w:rsidRPr="002060DD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федерального органа исполнительной власти в 2017 году;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органа государственной власти в отчетном периоде.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При расчете коэффициента снижения количества нарушений антимонопольного законодательства со стороны федерального органа исполнительной власти под нарушением антимонопольного законодательства со стороны федерального органа исполнительной власти понимаются: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- возбужденные антимонопольным органом в отношении федерального органа исполнительной власти антимонопольные дела;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- выданные антимонопольным органом федеральному органу исполнительной власти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- направленные антимонопольным органом федеральному органу исполнительной власти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5. 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законодательства, рассчитывается по формуле: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1066800" cy="393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0DD">
        <w:rPr>
          <w:rFonts w:ascii="Times New Roman" w:hAnsi="Times New Roman" w:cs="Times New Roman"/>
          <w:sz w:val="28"/>
          <w:szCs w:val="28"/>
        </w:rPr>
        <w:t>, где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Дпнпа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- 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Кпнпа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- количество проектов нормативных правовых актов федерального органа исполнительной власти, в которых данным органом выявлены риски нарушения антимонопольного законодательства (в отчетном периоде);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0DD">
        <w:rPr>
          <w:rFonts w:ascii="Times New Roman" w:hAnsi="Times New Roman" w:cs="Times New Roman"/>
          <w:sz w:val="28"/>
          <w:szCs w:val="28"/>
        </w:rPr>
        <w:lastRenderedPageBreak/>
        <w:t>КНоп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- количество нормативных правовых актов федерального органа исполнительной власти, в которых антимонопольным органом выявлены нарушения антимонопольного законодательства (в отчетном периоде).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6. Доля нормативных правовых актов федерального органа исполнительной власти, в которых выявлены риски нарушения антимонопольного законодательства, рассчитывается по формуле: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939800" cy="3937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0DD">
        <w:rPr>
          <w:rFonts w:ascii="Times New Roman" w:hAnsi="Times New Roman" w:cs="Times New Roman"/>
          <w:sz w:val="28"/>
          <w:szCs w:val="28"/>
        </w:rPr>
        <w:t>, где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- доля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Кпнпа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- количество нормативных правовых актов федерального органа исполнительной власти, в которых данным органом выявлены риски нарушения антимонопольного законодательства (в отчетном периоде);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- количество нормативных правовых актов федерального органа исполнительной власти, в которых антимонопольным органом выявлены нарушения антимонопольного законодательства (в отчетном периоде).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>III. Методика расчета ключевых показателей</w:t>
      </w:r>
      <w:bookmarkStart w:id="1" w:name="_GoBack"/>
      <w:bookmarkEnd w:id="1"/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2060DD"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>для уполномоченного подразделения (должностного лица)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7. Для уполномоченного подразделения (должностного лица) рассчитываются следующий КПЭ: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 xml:space="preserve">доля сотрудников федерального органа исполнительной власти,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>.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 xml:space="preserve">8. Доля 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990600" cy="40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0DD">
        <w:rPr>
          <w:rFonts w:ascii="Times New Roman" w:hAnsi="Times New Roman" w:cs="Times New Roman"/>
          <w:sz w:val="28"/>
          <w:szCs w:val="28"/>
        </w:rPr>
        <w:t>, где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- доля 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>;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0DD">
        <w:rPr>
          <w:rFonts w:ascii="Times New Roman" w:hAnsi="Times New Roman" w:cs="Times New Roman"/>
          <w:sz w:val="28"/>
          <w:szCs w:val="28"/>
        </w:rPr>
        <w:lastRenderedPageBreak/>
        <w:t>КСо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- количество 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>;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КСобщ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- общее количество сотрудников федерального органа исполнительной власти,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>IV. Оценка значений КПЭ для федерального органа</w:t>
      </w: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>исполнительной власти в целом и КПЭ для уполномоченного</w:t>
      </w:r>
    </w:p>
    <w:p w:rsidR="00AE694A" w:rsidRPr="002060DD" w:rsidRDefault="00AE694A" w:rsidP="00AE6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0DD">
        <w:rPr>
          <w:rFonts w:ascii="Times New Roman" w:hAnsi="Times New Roman" w:cs="Times New Roman"/>
          <w:b/>
          <w:bCs/>
          <w:sz w:val="28"/>
          <w:szCs w:val="28"/>
        </w:rPr>
        <w:t>подразделения (должностного лица)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9. Оценка значений КПЭ "коэффициент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годом)".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 xml:space="preserve">Ключевой показатель "коэффициент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годом)" коррелирует с ключевым показателем мероприятий, предусмотренным </w:t>
      </w:r>
      <w:hyperlink r:id="rId10" w:history="1">
        <w:r w:rsidRPr="002060D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Pr="002060DD">
        <w:rPr>
          <w:rFonts w:ascii="Times New Roman" w:hAnsi="Times New Roman" w:cs="Times New Roman"/>
          <w:sz w:val="28"/>
          <w:szCs w:val="28"/>
        </w:rPr>
        <w:t xml:space="preserve"> Национального плана развития конкуренции в Российской Федерации на 2018 - 2020 годы (далее - Национальный план), утвержденным Указом Президента РФ от 21.12.2017 N 618 "Об основных направлениях государственной политики по развитию конкуренции", а именно: "снижение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годом".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 xml:space="preserve">Ежегодная оценка значения КПЭ "коэффициент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годом)" призвана обеспечить понимание об эффективности функционирования антимонопольного </w:t>
      </w: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 и о соответствии мероприятий антимонопольного </w:t>
      </w: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 направлениям совершенствования государственной политики по развитию конкуренции, установленных Национальным </w:t>
      </w:r>
      <w:hyperlink r:id="rId11" w:history="1">
        <w:r w:rsidRPr="002060DD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2060DD">
        <w:rPr>
          <w:rFonts w:ascii="Times New Roman" w:hAnsi="Times New Roman" w:cs="Times New Roman"/>
          <w:sz w:val="28"/>
          <w:szCs w:val="28"/>
        </w:rPr>
        <w:t>.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>10. Оценка значений КПЭ "доля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законодательства" и "доля нормативных правовых актов федерального органа исполнительной власти, в которых выявлены риски нарушения антимонопольного законодательства".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lastRenderedPageBreak/>
        <w:t xml:space="preserve">Оценка вышеуказанных значений КПЭ направлена на понимание эффективности мероприятий антимонопольного </w:t>
      </w: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2" w:history="1">
        <w:r w:rsidRPr="002060DD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2060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2060DD">
          <w:rPr>
            <w:rFonts w:ascii="Times New Roman" w:hAnsi="Times New Roman" w:cs="Times New Roman"/>
            <w:color w:val="0000FF"/>
            <w:sz w:val="28"/>
            <w:szCs w:val="28"/>
          </w:rPr>
          <w:t>"в" пункта 15</w:t>
        </w:r>
      </w:hyperlink>
      <w:r w:rsidRPr="002060DD">
        <w:rPr>
          <w:rFonts w:ascii="Times New Roman" w:hAnsi="Times New Roman" w:cs="Times New Roman"/>
          <w:sz w:val="28"/>
          <w:szCs w:val="28"/>
        </w:rPr>
        <w:t xml:space="preserve"> Методических рекомендаций.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 xml:space="preserve">При эффективном проведении мероприятий по анализу нормативных правовых актов федерального органа исполнительной власти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федерального органа исполнительной власти, в отношении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КПЭ будет тем выше, чем эффективней данные мероприятия антимонопольного </w:t>
      </w: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будут осуществляться уполномоченным подразделением (должностным лицом). И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 xml:space="preserve">11. Оценка значения КПЭ "сотрудников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>".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 xml:space="preserve">Консультирование и обучение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, отнесено к компетенции уполномоченного подразделения (должностного лица) согласно </w:t>
      </w:r>
      <w:hyperlink r:id="rId14" w:history="1">
        <w:r w:rsidRPr="002060DD">
          <w:rPr>
            <w:rFonts w:ascii="Times New Roman" w:hAnsi="Times New Roman" w:cs="Times New Roman"/>
            <w:color w:val="0000FF"/>
            <w:sz w:val="28"/>
            <w:szCs w:val="28"/>
          </w:rPr>
          <w:t>подпункту "г" пункта 11</w:t>
        </w:r>
      </w:hyperlink>
      <w:r w:rsidRPr="002060DD">
        <w:rPr>
          <w:rFonts w:ascii="Times New Roman" w:hAnsi="Times New Roman" w:cs="Times New Roman"/>
          <w:sz w:val="28"/>
          <w:szCs w:val="28"/>
        </w:rPr>
        <w:t xml:space="preserve"> Методических рекомендаций, и направлено на профилактику нарушений требований антимонопольного законодательства в деятельности федерального органа исполнительной власти. В том числе от эффективности работы уполномоченного подразделения (должностного лица) по данному направлению напрямую зависит возможность достижения целей Национального плана, предусмотренных </w:t>
      </w:r>
      <w:hyperlink r:id="rId15" w:history="1">
        <w:r w:rsidRPr="002060D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Pr="002060DD">
        <w:rPr>
          <w:rFonts w:ascii="Times New Roman" w:hAnsi="Times New Roman" w:cs="Times New Roman"/>
          <w:sz w:val="28"/>
          <w:szCs w:val="28"/>
        </w:rPr>
        <w:t xml:space="preserve"> Национального плана.</w:t>
      </w:r>
    </w:p>
    <w:p w:rsidR="00AE694A" w:rsidRPr="002060DD" w:rsidRDefault="00AE694A" w:rsidP="00AE69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0DD">
        <w:rPr>
          <w:rFonts w:ascii="Times New Roman" w:hAnsi="Times New Roman" w:cs="Times New Roman"/>
          <w:sz w:val="28"/>
          <w:szCs w:val="28"/>
        </w:rPr>
        <w:t xml:space="preserve">Расчет данного показателя предусматривает определение сотрудников федерального органа исполнительной власти,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. 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2060DD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2060DD">
        <w:rPr>
          <w:rFonts w:ascii="Times New Roman" w:hAnsi="Times New Roman" w:cs="Times New Roman"/>
          <w:sz w:val="28"/>
          <w:szCs w:val="28"/>
        </w:rPr>
        <w:t xml:space="preserve"> (числитель), обеспечивает высокое значение КПЭ.</w:t>
      </w: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A" w:rsidRPr="002060DD" w:rsidRDefault="00AE694A" w:rsidP="00AE694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2E" w:rsidRPr="002060DD" w:rsidRDefault="00F4782E">
      <w:pPr>
        <w:rPr>
          <w:rFonts w:ascii="Times New Roman" w:hAnsi="Times New Roman" w:cs="Times New Roman"/>
          <w:sz w:val="28"/>
          <w:szCs w:val="28"/>
        </w:rPr>
      </w:pPr>
    </w:p>
    <w:sectPr w:rsidR="00F4782E" w:rsidRPr="002060DD" w:rsidSect="004A4E5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4A"/>
    <w:rsid w:val="002060DD"/>
    <w:rsid w:val="00AE694A"/>
    <w:rsid w:val="00F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D8B93-6249-41D8-B4B2-F939C515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ref=EB2D5C3B4EE30E80BA006A40C629A3D01F812F5DC64D052828D205544E86F86A5A5988F75C5D277C0E70145AF7E3BDA3EE09958CE4227F38C5HF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EB2D5C3B4EE30E80BA006A40C629A3D01F812F5DC64D052828D205544E86F86A5A5988F75C5D277C0D70145AF7E3BDA3EE09958CE4227F38C5HF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B2D5C3B4EE30E80BA006A40C629A3D01E892359C74F052828D205544E86F86A5A5988F75C5D277E0B70145AF7E3BDA3EE09958CE4227F38C5HFE" TargetMode="External"/><Relationship Id="rId5" Type="http://schemas.openxmlformats.org/officeDocument/2006/relationships/hyperlink" Target="consultantplus://offline/ref=EB2D5C3B4EE30E80BA006A40C629A3D01F812F5DC64D052828D205544E86F86A5A5988F75C5D267B0970145AF7E3BDA3EE09958CE4227F38C5HFE" TargetMode="External"/><Relationship Id="rId15" Type="http://schemas.openxmlformats.org/officeDocument/2006/relationships/hyperlink" Target="consultantplus://offline/ref=EB2D5C3B4EE30E80BA006A40C629A3D01E892359C74F052828D205544E86F86A5A5988F75C5D277D0C70145AF7E3BDA3EE09958CE4227F38C5HFE" TargetMode="External"/><Relationship Id="rId10" Type="http://schemas.openxmlformats.org/officeDocument/2006/relationships/hyperlink" Target="consultantplus://offline/ref=EB2D5C3B4EE30E80BA006A40C629A3D01E892359C74F052828D205544E86F86A5A5988F75C5D277D0C70145AF7E3BDA3EE09958CE4227F38C5HFE" TargetMode="External"/><Relationship Id="rId4" Type="http://schemas.openxmlformats.org/officeDocument/2006/relationships/hyperlink" Target="consultantplus://offline/ref=EB2D5C3B4EE30E80BA006A40C629A3D01F812F5DC64D052828D205544E86F86A5A5988F75C5D267B0970145AF7E3BDA3EE09958CE4227F38C5HFE" TargetMode="External"/><Relationship Id="rId9" Type="http://schemas.openxmlformats.org/officeDocument/2006/relationships/image" Target="media/image4.wmf"/><Relationship Id="rId14" Type="http://schemas.openxmlformats.org/officeDocument/2006/relationships/hyperlink" Target="consultantplus://offline/ref=EB2D5C3B4EE30E80BA006A40C629A3D01F812F5DC64D052828D205544E86F86A5A5988F75C5D277E0A70145AF7E3BDA3EE09958CE4227F38C5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Теплухин Александр</dc:creator>
  <cp:keywords/>
  <dc:description/>
  <cp:lastModifiedBy>Теплухин Александр</cp:lastModifiedBy>
  <cp:revision>3</cp:revision>
  <dcterms:created xsi:type="dcterms:W3CDTF">2020-07-09T04:07:00Z</dcterms:created>
  <dcterms:modified xsi:type="dcterms:W3CDTF">2020-07-09T04:08:00Z</dcterms:modified>
</cp:coreProperties>
</file>